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ACC4" w14:textId="2DEC9FF2" w:rsidR="001B59FC" w:rsidRPr="0095634D" w:rsidRDefault="004E37A1" w:rsidP="00FD1B96">
      <w:pPr>
        <w:spacing w:line="360" w:lineRule="auto"/>
        <w:jc w:val="center"/>
        <w:rPr>
          <w:rFonts w:cstheme="minorHAnsi"/>
          <w:b/>
          <w:lang w:val="fr-FR"/>
        </w:rPr>
      </w:pPr>
      <w:r w:rsidRPr="0095634D">
        <w:rPr>
          <w:rFonts w:cstheme="minorHAnsi"/>
          <w:b/>
          <w:lang w:val="fr-FR"/>
        </w:rPr>
        <w:t>Emergence de la r</w:t>
      </w:r>
      <w:r w:rsidR="007C3482" w:rsidRPr="0095634D">
        <w:rPr>
          <w:rFonts w:cstheme="minorHAnsi"/>
          <w:b/>
          <w:lang w:val="fr-FR"/>
        </w:rPr>
        <w:t>é</w:t>
      </w:r>
      <w:r w:rsidRPr="0095634D">
        <w:rPr>
          <w:rFonts w:cstheme="minorHAnsi"/>
          <w:b/>
          <w:lang w:val="fr-FR"/>
        </w:rPr>
        <w:t xml:space="preserve">sistance </w:t>
      </w:r>
      <w:r w:rsidRPr="0095634D">
        <w:rPr>
          <w:rStyle w:val="fontstyle01"/>
          <w:rFonts w:asciiTheme="minorHAnsi" w:hAnsiTheme="minorHAnsi" w:cstheme="minorHAnsi"/>
          <w:b/>
          <w:sz w:val="22"/>
          <w:szCs w:val="22"/>
          <w:lang w:val="fr-FR"/>
        </w:rPr>
        <w:t>au linézolide</w:t>
      </w:r>
      <w:r w:rsidRPr="0095634D">
        <w:rPr>
          <w:rFonts w:cstheme="minorHAnsi"/>
          <w:b/>
          <w:lang w:val="fr-FR"/>
        </w:rPr>
        <w:t xml:space="preserve"> chez </w:t>
      </w:r>
      <w:r w:rsidR="001B59FC" w:rsidRPr="00FD1B96">
        <w:rPr>
          <w:rFonts w:cstheme="minorHAnsi"/>
          <w:b/>
          <w:i/>
          <w:iCs/>
          <w:lang w:val="fr-FR"/>
        </w:rPr>
        <w:t>Enterococcus faecium</w:t>
      </w:r>
      <w:r w:rsidR="001B59FC" w:rsidRPr="00FD1B96">
        <w:rPr>
          <w:rFonts w:cstheme="minorHAnsi"/>
          <w:b/>
          <w:lang w:val="fr-FR"/>
        </w:rPr>
        <w:t xml:space="preserve"> </w:t>
      </w:r>
      <w:r w:rsidR="001B59FC" w:rsidRPr="0095634D">
        <w:rPr>
          <w:rStyle w:val="fontstyle01"/>
          <w:rFonts w:asciiTheme="minorHAnsi" w:hAnsiTheme="minorHAnsi" w:cstheme="minorHAnsi"/>
          <w:b/>
          <w:sz w:val="22"/>
          <w:szCs w:val="22"/>
          <w:lang w:val="fr-FR"/>
        </w:rPr>
        <w:t>résistant</w:t>
      </w:r>
      <w:r w:rsidR="00FD1B96" w:rsidRPr="0095634D">
        <w:rPr>
          <w:rStyle w:val="fontstyle01"/>
          <w:rFonts w:asciiTheme="minorHAnsi" w:hAnsiTheme="minorHAnsi" w:cstheme="minorHAnsi"/>
          <w:b/>
          <w:sz w:val="22"/>
          <w:szCs w:val="22"/>
          <w:lang w:val="fr-FR"/>
        </w:rPr>
        <w:t>s</w:t>
      </w:r>
      <w:r w:rsidR="001B59FC" w:rsidRPr="0095634D">
        <w:rPr>
          <w:rStyle w:val="fontstyle01"/>
          <w:rFonts w:asciiTheme="minorHAnsi" w:hAnsiTheme="minorHAnsi" w:cstheme="minorHAnsi"/>
          <w:b/>
          <w:sz w:val="22"/>
          <w:szCs w:val="22"/>
          <w:lang w:val="fr-FR"/>
        </w:rPr>
        <w:t xml:space="preserve"> à la vancomycine </w:t>
      </w:r>
      <w:r w:rsidRPr="0095634D">
        <w:rPr>
          <w:rStyle w:val="fontstyle01"/>
          <w:rFonts w:asciiTheme="minorHAnsi" w:hAnsiTheme="minorHAnsi" w:cstheme="minorHAnsi"/>
          <w:b/>
          <w:sz w:val="22"/>
          <w:szCs w:val="22"/>
          <w:lang w:val="fr-FR"/>
        </w:rPr>
        <w:t>en onco-hématologie pédiatrique</w:t>
      </w:r>
    </w:p>
    <w:p w14:paraId="50C1C355" w14:textId="0987236F" w:rsidR="001B59FC" w:rsidRPr="0095634D" w:rsidRDefault="001B59FC" w:rsidP="001B59FC">
      <w:pPr>
        <w:spacing w:line="360" w:lineRule="auto"/>
        <w:rPr>
          <w:rFonts w:ascii="Arial" w:hAnsi="Arial" w:cs="Arial"/>
          <w:b/>
          <w:bCs/>
          <w:sz w:val="18"/>
          <w:szCs w:val="18"/>
          <w:lang w:val="fr-FR"/>
        </w:rPr>
      </w:pPr>
      <w:r w:rsidRPr="0095634D">
        <w:rPr>
          <w:rFonts w:ascii="Arial" w:hAnsi="Arial" w:cs="Arial"/>
          <w:b/>
          <w:sz w:val="18"/>
          <w:szCs w:val="18"/>
          <w:lang w:val="fr-FR"/>
        </w:rPr>
        <w:t>O. Zouaoui</w:t>
      </w:r>
      <w:r w:rsidRPr="0095634D">
        <w:rPr>
          <w:rFonts w:ascii="Arial" w:hAnsi="Arial" w:cs="Arial"/>
          <w:b/>
          <w:bCs/>
          <w:sz w:val="18"/>
          <w:szCs w:val="18"/>
          <w:vertAlign w:val="superscript"/>
          <w:lang w:val="fr-FR"/>
        </w:rPr>
        <w:t>1</w:t>
      </w:r>
      <w:r w:rsidRPr="0095634D">
        <w:rPr>
          <w:rFonts w:ascii="Arial" w:hAnsi="Arial" w:cs="Arial"/>
          <w:b/>
          <w:bCs/>
          <w:sz w:val="18"/>
          <w:szCs w:val="18"/>
          <w:lang w:val="fr-FR"/>
        </w:rPr>
        <w:t>, Y. Chebbi</w:t>
      </w:r>
      <w:r w:rsidRPr="0095634D">
        <w:rPr>
          <w:rFonts w:ascii="Arial" w:hAnsi="Arial" w:cs="Arial"/>
          <w:b/>
          <w:bCs/>
          <w:sz w:val="18"/>
          <w:szCs w:val="18"/>
          <w:vertAlign w:val="superscript"/>
          <w:lang w:val="fr-FR"/>
        </w:rPr>
        <w:t>1,2</w:t>
      </w:r>
      <w:r w:rsidRPr="0095634D">
        <w:rPr>
          <w:rFonts w:ascii="Arial" w:hAnsi="Arial" w:cs="Arial"/>
          <w:b/>
          <w:bCs/>
          <w:sz w:val="18"/>
          <w:szCs w:val="18"/>
          <w:lang w:val="fr-FR"/>
        </w:rPr>
        <w:t>, S. Frigui</w:t>
      </w:r>
      <w:r w:rsidRPr="0095634D">
        <w:rPr>
          <w:rFonts w:ascii="Arial" w:hAnsi="Arial" w:cs="Arial"/>
          <w:b/>
          <w:bCs/>
          <w:sz w:val="18"/>
          <w:szCs w:val="18"/>
          <w:vertAlign w:val="superscript"/>
          <w:lang w:val="fr-FR"/>
        </w:rPr>
        <w:t>1,2</w:t>
      </w:r>
      <w:r w:rsidRPr="0095634D">
        <w:rPr>
          <w:rFonts w:ascii="Arial" w:hAnsi="Arial" w:cs="Arial"/>
          <w:b/>
          <w:bCs/>
          <w:sz w:val="18"/>
          <w:szCs w:val="18"/>
          <w:lang w:val="fr-FR"/>
        </w:rPr>
        <w:t>, M. Ben Khaled</w:t>
      </w:r>
      <w:r w:rsidRPr="0095634D">
        <w:rPr>
          <w:rFonts w:ascii="Arial" w:hAnsi="Arial" w:cs="Arial"/>
          <w:b/>
          <w:bCs/>
          <w:sz w:val="18"/>
          <w:szCs w:val="18"/>
          <w:vertAlign w:val="superscript"/>
          <w:lang w:val="fr-FR"/>
        </w:rPr>
        <w:t>2,3</w:t>
      </w:r>
      <w:r w:rsidRPr="0095634D">
        <w:rPr>
          <w:rFonts w:ascii="Arial" w:hAnsi="Arial" w:cs="Arial"/>
          <w:b/>
          <w:bCs/>
          <w:sz w:val="18"/>
          <w:szCs w:val="18"/>
          <w:lang w:val="fr-FR"/>
        </w:rPr>
        <w:t xml:space="preserve">, </w:t>
      </w:r>
      <w:r w:rsidR="0095634D" w:rsidRPr="0095634D">
        <w:rPr>
          <w:rFonts w:ascii="Arial" w:hAnsi="Arial" w:cs="Arial"/>
          <w:b/>
          <w:bCs/>
          <w:sz w:val="18"/>
          <w:szCs w:val="18"/>
          <w:lang w:val="fr-FR"/>
        </w:rPr>
        <w:t>Z</w:t>
      </w:r>
      <w:r w:rsidR="0095634D">
        <w:rPr>
          <w:rFonts w:ascii="Arial" w:hAnsi="Arial" w:cs="Arial"/>
          <w:b/>
          <w:bCs/>
          <w:sz w:val="18"/>
          <w:szCs w:val="18"/>
          <w:lang w:val="fr-FR"/>
        </w:rPr>
        <w:t>.Olfa,</w:t>
      </w:r>
      <w:r w:rsidRPr="0095634D">
        <w:rPr>
          <w:rFonts w:ascii="Arial" w:hAnsi="Arial" w:cs="Arial"/>
          <w:b/>
          <w:bCs/>
          <w:sz w:val="18"/>
          <w:szCs w:val="18"/>
          <w:lang w:val="fr-FR"/>
        </w:rPr>
        <w:t>M</w:t>
      </w:r>
      <w:r w:rsidR="0095634D" w:rsidRPr="0095634D">
        <w:rPr>
          <w:rFonts w:ascii="Arial" w:hAnsi="Arial" w:cs="Arial"/>
          <w:b/>
          <w:bCs/>
          <w:sz w:val="18"/>
          <w:szCs w:val="18"/>
          <w:vertAlign w:val="superscript"/>
          <w:lang w:val="fr-FR"/>
        </w:rPr>
        <w:t>2,3</w:t>
      </w:r>
      <w:r w:rsidR="0095634D">
        <w:rPr>
          <w:rFonts w:ascii="Arial" w:hAnsi="Arial" w:cs="Arial"/>
          <w:b/>
          <w:bCs/>
          <w:sz w:val="18"/>
          <w:szCs w:val="18"/>
          <w:lang w:val="fr-FR"/>
        </w:rPr>
        <w:t>,</w:t>
      </w:r>
      <w:r w:rsidRPr="0095634D">
        <w:rPr>
          <w:rFonts w:ascii="Arial" w:hAnsi="Arial" w:cs="Arial"/>
          <w:b/>
          <w:bCs/>
          <w:sz w:val="18"/>
          <w:szCs w:val="18"/>
          <w:lang w:val="fr-FR"/>
        </w:rPr>
        <w:t xml:space="preserve"> Ouederni</w:t>
      </w:r>
      <w:r w:rsidRPr="0095634D">
        <w:rPr>
          <w:rFonts w:ascii="Arial" w:hAnsi="Arial" w:cs="Arial"/>
          <w:b/>
          <w:bCs/>
          <w:sz w:val="18"/>
          <w:szCs w:val="18"/>
          <w:vertAlign w:val="superscript"/>
          <w:lang w:val="fr-FR"/>
        </w:rPr>
        <w:t>2,3</w:t>
      </w:r>
      <w:r w:rsidRPr="0095634D">
        <w:rPr>
          <w:rFonts w:ascii="Arial" w:hAnsi="Arial" w:cs="Arial"/>
          <w:b/>
          <w:bCs/>
          <w:sz w:val="18"/>
          <w:szCs w:val="18"/>
          <w:lang w:val="fr-FR"/>
        </w:rPr>
        <w:t>, W. Achour</w:t>
      </w:r>
      <w:r w:rsidRPr="0095634D">
        <w:rPr>
          <w:rFonts w:ascii="Arial" w:hAnsi="Arial" w:cs="Arial"/>
          <w:b/>
          <w:bCs/>
          <w:sz w:val="18"/>
          <w:szCs w:val="18"/>
          <w:vertAlign w:val="superscript"/>
          <w:lang w:val="fr-FR"/>
        </w:rPr>
        <w:t>1,2</w:t>
      </w:r>
    </w:p>
    <w:p w14:paraId="346F798F" w14:textId="77777777" w:rsidR="001B59FC" w:rsidRPr="0095634D" w:rsidRDefault="001B59FC" w:rsidP="001B59FC">
      <w:pPr>
        <w:spacing w:line="360" w:lineRule="auto"/>
        <w:rPr>
          <w:rFonts w:ascii="Arial" w:hAnsi="Arial" w:cs="Arial"/>
          <w:b/>
          <w:bCs/>
          <w:sz w:val="18"/>
          <w:szCs w:val="18"/>
          <w:lang w:val="fr-FR"/>
        </w:rPr>
      </w:pPr>
      <w:r w:rsidRPr="0095634D">
        <w:rPr>
          <w:rFonts w:ascii="Arial" w:hAnsi="Arial" w:cs="Arial"/>
          <w:b/>
          <w:bCs/>
          <w:sz w:val="18"/>
          <w:szCs w:val="18"/>
          <w:vertAlign w:val="superscript"/>
          <w:lang w:val="fr-FR"/>
        </w:rPr>
        <w:t>1</w:t>
      </w:r>
      <w:r w:rsidRPr="0095634D">
        <w:rPr>
          <w:rFonts w:ascii="Arial" w:hAnsi="Arial" w:cs="Arial"/>
          <w:b/>
          <w:bCs/>
          <w:sz w:val="18"/>
          <w:szCs w:val="18"/>
          <w:lang w:val="fr-FR"/>
        </w:rPr>
        <w:t>Service des Laboratoires, Centre National de Greffe de Moelle Osseuse, Tunis, Tunisie</w:t>
      </w:r>
    </w:p>
    <w:p w14:paraId="33972915" w14:textId="77777777" w:rsidR="001B59FC" w:rsidRPr="0095634D" w:rsidRDefault="001B59FC" w:rsidP="001B59FC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fr-FR"/>
        </w:rPr>
      </w:pPr>
      <w:r w:rsidRPr="0095634D">
        <w:rPr>
          <w:rFonts w:ascii="Arial" w:hAnsi="Arial" w:cs="Arial"/>
          <w:b/>
          <w:bCs/>
          <w:sz w:val="18"/>
          <w:szCs w:val="18"/>
          <w:vertAlign w:val="superscript"/>
          <w:lang w:val="fr-FR"/>
        </w:rPr>
        <w:t>2</w:t>
      </w:r>
      <w:r w:rsidRPr="0095634D">
        <w:rPr>
          <w:rFonts w:ascii="Arial" w:hAnsi="Arial" w:cs="Arial"/>
          <w:b/>
          <w:bCs/>
          <w:sz w:val="18"/>
          <w:szCs w:val="18"/>
          <w:lang w:val="fr-FR"/>
        </w:rPr>
        <w:t>Faculté de Médecine de Tunis, Université de Tunis El Manar, LR 18ES39, Tunis, Tunisie</w:t>
      </w:r>
    </w:p>
    <w:p w14:paraId="490FE511" w14:textId="77777777" w:rsidR="001B59FC" w:rsidRPr="0095634D" w:rsidRDefault="001B59FC" w:rsidP="001B59FC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fr-FR"/>
        </w:rPr>
      </w:pPr>
      <w:r w:rsidRPr="0095634D">
        <w:rPr>
          <w:rFonts w:ascii="Arial" w:hAnsi="Arial" w:cs="Arial"/>
          <w:b/>
          <w:bCs/>
          <w:sz w:val="18"/>
          <w:szCs w:val="18"/>
          <w:vertAlign w:val="superscript"/>
          <w:lang w:val="fr-FR"/>
        </w:rPr>
        <w:t>3</w:t>
      </w:r>
      <w:r w:rsidRPr="0095634D">
        <w:rPr>
          <w:rFonts w:ascii="Arial" w:hAnsi="Arial" w:cs="Arial"/>
          <w:b/>
          <w:bCs/>
          <w:sz w:val="18"/>
          <w:szCs w:val="18"/>
          <w:lang w:val="fr-FR"/>
        </w:rPr>
        <w:t>Service d’Immuno-Hématologie et de Greffe Pédiatrique, Centre National de Greffe de Moelle Osseuse, Tunis, Tunisie</w:t>
      </w:r>
    </w:p>
    <w:p w14:paraId="2D8356F4" w14:textId="1BB6B3BB" w:rsidR="004B30D6" w:rsidRDefault="004B30D6" w:rsidP="004B30D6">
      <w:pPr>
        <w:rPr>
          <w:lang w:val="fr-FR"/>
        </w:rPr>
      </w:pPr>
    </w:p>
    <w:p w14:paraId="4B19BAA4" w14:textId="17E62D9E" w:rsidR="004B30D6" w:rsidRPr="00FD1B96" w:rsidRDefault="004B30D6" w:rsidP="00FD1B96">
      <w:pPr>
        <w:jc w:val="both"/>
        <w:rPr>
          <w:rFonts w:cstheme="minorHAnsi"/>
          <w:lang w:val="fr-FR"/>
        </w:rPr>
      </w:pPr>
      <w:r w:rsidRPr="00FD1B96">
        <w:rPr>
          <w:rFonts w:cstheme="minorHAnsi"/>
          <w:lang w:val="fr-FR"/>
        </w:rPr>
        <w:t>Introduction :</w:t>
      </w:r>
    </w:p>
    <w:p w14:paraId="435CBE71" w14:textId="29B429F8" w:rsidR="004B30D6" w:rsidRPr="00FD1B96" w:rsidRDefault="00D34DD3" w:rsidP="00FD1B96">
      <w:pPr>
        <w:jc w:val="both"/>
        <w:rPr>
          <w:rFonts w:cstheme="minorHAnsi"/>
          <w:lang w:val="fr-FR"/>
        </w:rPr>
      </w:pPr>
      <w:r w:rsidRPr="0095634D">
        <w:rPr>
          <w:rStyle w:val="fontstyle01"/>
          <w:rFonts w:asciiTheme="minorHAnsi" w:hAnsiTheme="minorHAnsi" w:cstheme="minorHAnsi"/>
          <w:sz w:val="22"/>
          <w:szCs w:val="22"/>
          <w:lang w:val="fr-FR"/>
        </w:rPr>
        <w:t xml:space="preserve">La colonisation digestive à </w:t>
      </w:r>
      <w:r w:rsidRPr="00FD1B96">
        <w:rPr>
          <w:rFonts w:cstheme="minorHAnsi"/>
          <w:i/>
          <w:iCs/>
          <w:lang w:val="fr-FR"/>
        </w:rPr>
        <w:t>Enterococcus faecium</w:t>
      </w:r>
      <w:r w:rsidRPr="00FD1B96">
        <w:rPr>
          <w:rFonts w:cstheme="minorHAnsi"/>
          <w:lang w:val="fr-FR"/>
        </w:rPr>
        <w:t xml:space="preserve"> </w:t>
      </w:r>
      <w:r w:rsidRPr="0095634D">
        <w:rPr>
          <w:rStyle w:val="fontstyle01"/>
          <w:rFonts w:asciiTheme="minorHAnsi" w:hAnsiTheme="minorHAnsi" w:cstheme="minorHAnsi"/>
          <w:sz w:val="22"/>
          <w:szCs w:val="22"/>
          <w:lang w:val="fr-FR"/>
        </w:rPr>
        <w:t>résistant à la vancomycine (ERV) a été décrite comme un facteur de risque</w:t>
      </w:r>
      <w:r w:rsidRPr="0095634D">
        <w:rPr>
          <w:rFonts w:cstheme="minorHAnsi"/>
          <w:color w:val="333333"/>
          <w:lang w:val="fr-FR"/>
        </w:rPr>
        <w:t xml:space="preserve"> </w:t>
      </w:r>
      <w:r w:rsidRPr="0095634D">
        <w:rPr>
          <w:rStyle w:val="fontstyle01"/>
          <w:rFonts w:asciiTheme="minorHAnsi" w:hAnsiTheme="minorHAnsi" w:cstheme="minorHAnsi"/>
          <w:sz w:val="22"/>
          <w:szCs w:val="22"/>
          <w:lang w:val="fr-FR"/>
        </w:rPr>
        <w:t>d'infection chez les greffés de cellules souches hématopoïétiques</w:t>
      </w:r>
      <w:r w:rsidRPr="0095634D">
        <w:rPr>
          <w:rFonts w:cstheme="minorHAnsi"/>
          <w:color w:val="333333"/>
          <w:lang w:val="fr-FR"/>
        </w:rPr>
        <w:t xml:space="preserve"> </w:t>
      </w:r>
      <w:r w:rsidRPr="0095634D">
        <w:rPr>
          <w:rStyle w:val="fontstyle01"/>
          <w:rFonts w:asciiTheme="minorHAnsi" w:hAnsiTheme="minorHAnsi" w:cstheme="minorHAnsi"/>
          <w:sz w:val="22"/>
          <w:szCs w:val="22"/>
          <w:lang w:val="fr-FR"/>
        </w:rPr>
        <w:t>(CSH)</w:t>
      </w:r>
      <w:r w:rsidR="004B30D6" w:rsidRPr="00FD1B96">
        <w:rPr>
          <w:rFonts w:cstheme="minorHAnsi"/>
          <w:lang w:val="fr-FR"/>
        </w:rPr>
        <w:t xml:space="preserve">. L’objectif de cette étude était d’étudier la prévalence de la colonisation </w:t>
      </w:r>
      <w:r w:rsidRPr="00FD1B96">
        <w:rPr>
          <w:rFonts w:cstheme="minorHAnsi"/>
          <w:lang w:val="fr-FR"/>
        </w:rPr>
        <w:t>à</w:t>
      </w:r>
      <w:r w:rsidR="004B30D6" w:rsidRPr="00FD1B96">
        <w:rPr>
          <w:rFonts w:cstheme="minorHAnsi"/>
          <w:lang w:val="fr-FR"/>
        </w:rPr>
        <w:t xml:space="preserve"> ERV chez les patients allogreffés</w:t>
      </w:r>
      <w:r w:rsidRPr="00FD1B96">
        <w:rPr>
          <w:rFonts w:cstheme="minorHAnsi"/>
          <w:lang w:val="fr-FR"/>
        </w:rPr>
        <w:t xml:space="preserve"> de CSH</w:t>
      </w:r>
      <w:r w:rsidR="004B30D6" w:rsidRPr="00FD1B96">
        <w:rPr>
          <w:rFonts w:cstheme="minorHAnsi"/>
          <w:lang w:val="fr-FR"/>
        </w:rPr>
        <w:t xml:space="preserve"> </w:t>
      </w:r>
      <w:r w:rsidRPr="00FD1B96">
        <w:rPr>
          <w:rFonts w:cstheme="minorHAnsi"/>
          <w:lang w:val="fr-FR"/>
        </w:rPr>
        <w:t xml:space="preserve">en </w:t>
      </w:r>
      <w:r w:rsidR="004B30D6" w:rsidRPr="00FD1B96">
        <w:rPr>
          <w:rFonts w:cstheme="minorHAnsi"/>
          <w:lang w:val="fr-FR"/>
        </w:rPr>
        <w:t>pédiatrie et d</w:t>
      </w:r>
      <w:r w:rsidRPr="00FD1B96">
        <w:rPr>
          <w:rFonts w:cstheme="minorHAnsi"/>
          <w:lang w:val="fr-FR"/>
        </w:rPr>
        <w:t>e déterminer</w:t>
      </w:r>
      <w:r w:rsidR="004B30D6" w:rsidRPr="00FD1B96">
        <w:rPr>
          <w:rFonts w:cstheme="minorHAnsi"/>
          <w:lang w:val="fr-FR"/>
        </w:rPr>
        <w:t xml:space="preserve"> le profil de résistance</w:t>
      </w:r>
      <w:r w:rsidRPr="00FD1B96">
        <w:rPr>
          <w:rFonts w:cstheme="minorHAnsi"/>
          <w:lang w:val="fr-FR"/>
        </w:rPr>
        <w:t xml:space="preserve"> aux antibiotiques </w:t>
      </w:r>
      <w:r w:rsidR="004B30D6" w:rsidRPr="00FD1B96">
        <w:rPr>
          <w:rFonts w:cstheme="minorHAnsi"/>
          <w:lang w:val="fr-FR"/>
        </w:rPr>
        <w:t>de ces bactéries.</w:t>
      </w:r>
    </w:p>
    <w:p w14:paraId="5B88E68E" w14:textId="77777777" w:rsidR="00D34DD3" w:rsidRPr="00FD1B96" w:rsidRDefault="004B30D6" w:rsidP="00FD1B96">
      <w:pPr>
        <w:jc w:val="both"/>
        <w:rPr>
          <w:rFonts w:cstheme="minorHAnsi"/>
          <w:lang w:val="fr-FR"/>
        </w:rPr>
      </w:pPr>
      <w:r w:rsidRPr="00FD1B96">
        <w:rPr>
          <w:rFonts w:cstheme="minorHAnsi"/>
          <w:lang w:val="fr-FR"/>
        </w:rPr>
        <w:t>Méthode :</w:t>
      </w:r>
    </w:p>
    <w:p w14:paraId="429F253B" w14:textId="7A0E53CA" w:rsidR="0094126E" w:rsidRPr="00FD1B96" w:rsidRDefault="00D34DD3" w:rsidP="00FD1B96">
      <w:pPr>
        <w:jc w:val="both"/>
        <w:rPr>
          <w:rFonts w:cstheme="minorHAnsi"/>
          <w:lang w:val="fr-FR"/>
        </w:rPr>
      </w:pPr>
      <w:r w:rsidRPr="00FD1B96">
        <w:rPr>
          <w:rFonts w:cstheme="minorHAnsi"/>
          <w:lang w:val="fr-FR"/>
        </w:rPr>
        <w:t xml:space="preserve">Nous avons mené une </w:t>
      </w:r>
      <w:r w:rsidR="004B30D6" w:rsidRPr="00FD1B96">
        <w:rPr>
          <w:rFonts w:cstheme="minorHAnsi"/>
          <w:lang w:val="fr-FR"/>
        </w:rPr>
        <w:t>étude rétrospective</w:t>
      </w:r>
      <w:r w:rsidRPr="00FD1B96">
        <w:rPr>
          <w:rFonts w:cstheme="minorHAnsi"/>
          <w:lang w:val="fr-FR"/>
        </w:rPr>
        <w:t xml:space="preserve"> descriptive</w:t>
      </w:r>
      <w:r w:rsidR="004B30D6" w:rsidRPr="00FD1B96">
        <w:rPr>
          <w:rFonts w:cstheme="minorHAnsi"/>
          <w:lang w:val="fr-FR"/>
        </w:rPr>
        <w:t xml:space="preserve"> </w:t>
      </w:r>
      <w:r w:rsidR="004B750D" w:rsidRPr="00FD1B96">
        <w:rPr>
          <w:rFonts w:cstheme="minorHAnsi"/>
          <w:lang w:val="fr-FR"/>
        </w:rPr>
        <w:t>incluant les</w:t>
      </w:r>
      <w:r w:rsidR="006852F4" w:rsidRPr="00FD1B96">
        <w:rPr>
          <w:rFonts w:cstheme="minorHAnsi"/>
          <w:lang w:val="fr-FR"/>
        </w:rPr>
        <w:t xml:space="preserve"> patients</w:t>
      </w:r>
      <w:r w:rsidRPr="00FD1B96">
        <w:rPr>
          <w:rFonts w:cstheme="minorHAnsi"/>
          <w:lang w:val="fr-FR"/>
        </w:rPr>
        <w:t xml:space="preserve"> allogreffés de CSH</w:t>
      </w:r>
      <w:r w:rsidR="002156DE" w:rsidRPr="00FD1B96">
        <w:rPr>
          <w:rFonts w:cstheme="minorHAnsi"/>
          <w:lang w:val="fr-FR"/>
        </w:rPr>
        <w:t xml:space="preserve"> entre janvier 2018 et décembre 2022</w:t>
      </w:r>
      <w:r w:rsidRPr="00FD1B96">
        <w:rPr>
          <w:rFonts w:cstheme="minorHAnsi"/>
          <w:lang w:val="fr-FR"/>
        </w:rPr>
        <w:t xml:space="preserve">, suivis au service d’Immuno-Hématologie et de Greffe Pédiatrique du </w:t>
      </w:r>
      <w:r w:rsidR="004B30D6" w:rsidRPr="00FD1B96">
        <w:rPr>
          <w:rFonts w:cstheme="minorHAnsi"/>
          <w:lang w:val="fr-FR"/>
        </w:rPr>
        <w:t xml:space="preserve">Centre National de Greffe de Moelle Osseuse (CNGMO) </w:t>
      </w:r>
      <w:r w:rsidR="002156DE" w:rsidRPr="00FD1B96">
        <w:rPr>
          <w:rFonts w:cstheme="minorHAnsi"/>
          <w:lang w:val="fr-FR"/>
        </w:rPr>
        <w:t>et qui ont été colonisés ou infectés par ERV.</w:t>
      </w:r>
      <w:r w:rsidR="0094126E" w:rsidRPr="00FD1B96">
        <w:rPr>
          <w:rFonts w:cstheme="minorHAnsi"/>
          <w:lang w:val="fr-FR"/>
        </w:rPr>
        <w:t xml:space="preserve"> </w:t>
      </w:r>
      <w:r w:rsidR="002156DE" w:rsidRPr="0095634D">
        <w:rPr>
          <w:rStyle w:val="fontstyle01"/>
          <w:rFonts w:asciiTheme="minorHAnsi" w:hAnsiTheme="minorHAnsi" w:cstheme="minorHAnsi"/>
          <w:sz w:val="22"/>
          <w:szCs w:val="22"/>
          <w:lang w:val="fr-FR"/>
        </w:rPr>
        <w:t>La La colonisation digestive a</w:t>
      </w:r>
      <w:r w:rsidR="002156DE" w:rsidRPr="0095634D">
        <w:rPr>
          <w:rFonts w:cstheme="minorHAnsi"/>
          <w:color w:val="333333"/>
          <w:lang w:val="fr-FR"/>
        </w:rPr>
        <w:t xml:space="preserve"> </w:t>
      </w:r>
      <w:r w:rsidR="002156DE" w:rsidRPr="0095634D">
        <w:rPr>
          <w:rStyle w:val="fontstyle01"/>
          <w:rFonts w:asciiTheme="minorHAnsi" w:hAnsiTheme="minorHAnsi" w:cstheme="minorHAnsi"/>
          <w:sz w:val="22"/>
          <w:szCs w:val="22"/>
          <w:lang w:val="fr-FR"/>
        </w:rPr>
        <w:t>été retenue si l'ERV était isolé d’écouvillonnages rectaux ou de</w:t>
      </w:r>
      <w:r w:rsidR="002156DE" w:rsidRPr="0095634D">
        <w:rPr>
          <w:rFonts w:cstheme="minorHAnsi"/>
          <w:color w:val="333333"/>
          <w:lang w:val="fr-FR"/>
        </w:rPr>
        <w:t xml:space="preserve"> </w:t>
      </w:r>
      <w:r w:rsidR="002156DE" w:rsidRPr="0095634D">
        <w:rPr>
          <w:rStyle w:val="fontstyle01"/>
          <w:rFonts w:asciiTheme="minorHAnsi" w:hAnsiTheme="minorHAnsi" w:cstheme="minorHAnsi"/>
          <w:sz w:val="22"/>
          <w:szCs w:val="22"/>
          <w:lang w:val="fr-FR"/>
        </w:rPr>
        <w:t>coprocultures.</w:t>
      </w:r>
      <w:r w:rsidR="002B4AD3" w:rsidRPr="0095634D">
        <w:rPr>
          <w:rStyle w:val="fontstyle01"/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94126E" w:rsidRPr="00FD1B96">
        <w:rPr>
          <w:rFonts w:cstheme="minorHAnsi"/>
          <w:lang w:val="fr-FR"/>
        </w:rPr>
        <w:t xml:space="preserve">L’identification </w:t>
      </w:r>
      <w:r w:rsidR="002156DE" w:rsidRPr="00FD1B96">
        <w:rPr>
          <w:rFonts w:cstheme="minorHAnsi"/>
          <w:lang w:val="fr-FR"/>
        </w:rPr>
        <w:t xml:space="preserve">bactérienne a été réalisé selon les méthodes </w:t>
      </w:r>
      <w:r w:rsidR="002B4AD3" w:rsidRPr="00FD1B96">
        <w:rPr>
          <w:rFonts w:cstheme="minorHAnsi"/>
          <w:lang w:val="fr-FR"/>
        </w:rPr>
        <w:t>conventionnelles</w:t>
      </w:r>
      <w:r w:rsidR="0094126E" w:rsidRPr="00FD1B96">
        <w:rPr>
          <w:rFonts w:cstheme="minorHAnsi"/>
          <w:lang w:val="fr-FR"/>
        </w:rPr>
        <w:t xml:space="preserve"> et l’étude de la sensibilité aux antibiotiques </w:t>
      </w:r>
      <w:r w:rsidR="004B750D" w:rsidRPr="00FD1B96">
        <w:rPr>
          <w:rFonts w:cstheme="minorHAnsi"/>
          <w:lang w:val="fr-FR"/>
        </w:rPr>
        <w:t>selon les</w:t>
      </w:r>
      <w:r w:rsidR="007B5DAD" w:rsidRPr="00FD1B96">
        <w:rPr>
          <w:rFonts w:cstheme="minorHAnsi"/>
          <w:lang w:val="fr-FR"/>
        </w:rPr>
        <w:t xml:space="preserve"> </w:t>
      </w:r>
      <w:r w:rsidR="0094126E" w:rsidRPr="00FD1B96">
        <w:rPr>
          <w:rFonts w:cstheme="minorHAnsi"/>
          <w:lang w:val="fr-FR"/>
        </w:rPr>
        <w:t>recommandations du CA-SFM annuellement</w:t>
      </w:r>
      <w:r w:rsidR="004B750D" w:rsidRPr="00FD1B96">
        <w:rPr>
          <w:rFonts w:cstheme="minorHAnsi"/>
          <w:lang w:val="fr-FR"/>
        </w:rPr>
        <w:t xml:space="preserve"> actualisées</w:t>
      </w:r>
      <w:r w:rsidR="0094126E" w:rsidRPr="00FD1B96">
        <w:rPr>
          <w:rFonts w:cstheme="minorHAnsi"/>
          <w:lang w:val="fr-FR"/>
        </w:rPr>
        <w:t>.</w:t>
      </w:r>
    </w:p>
    <w:p w14:paraId="7649B55E" w14:textId="0CDD4BDB" w:rsidR="0094126E" w:rsidRPr="00FD1B96" w:rsidRDefault="0094126E" w:rsidP="00FD1B96">
      <w:pPr>
        <w:jc w:val="both"/>
        <w:rPr>
          <w:rFonts w:cstheme="minorHAnsi"/>
          <w:lang w:val="fr-FR"/>
        </w:rPr>
      </w:pPr>
      <w:r w:rsidRPr="00FD1B96">
        <w:rPr>
          <w:rFonts w:cstheme="minorHAnsi"/>
          <w:lang w:val="fr-FR"/>
        </w:rPr>
        <w:t>Résultats :</w:t>
      </w:r>
    </w:p>
    <w:p w14:paraId="20B3C23D" w14:textId="1EABBA9E" w:rsidR="0094126E" w:rsidRPr="00FD1B96" w:rsidRDefault="002156DE" w:rsidP="00FD1B96">
      <w:pPr>
        <w:jc w:val="both"/>
        <w:rPr>
          <w:rFonts w:cstheme="minorHAnsi"/>
          <w:lang w:val="fr-FR"/>
        </w:rPr>
      </w:pPr>
      <w:r w:rsidRPr="00FD1B96">
        <w:rPr>
          <w:rFonts w:cstheme="minorHAnsi"/>
          <w:lang w:val="fr-FR"/>
        </w:rPr>
        <w:t xml:space="preserve">Durant la période d’étude, nous avons recensé </w:t>
      </w:r>
      <w:r w:rsidR="0094126E" w:rsidRPr="00FD1B96">
        <w:rPr>
          <w:rFonts w:cstheme="minorHAnsi"/>
          <w:lang w:val="fr-FR"/>
        </w:rPr>
        <w:t>144 allogreff</w:t>
      </w:r>
      <w:r w:rsidRPr="00FD1B96">
        <w:rPr>
          <w:rFonts w:cstheme="minorHAnsi"/>
          <w:lang w:val="fr-FR"/>
        </w:rPr>
        <w:t xml:space="preserve">és </w:t>
      </w:r>
      <w:r w:rsidR="0094126E" w:rsidRPr="00FD1B96">
        <w:rPr>
          <w:rFonts w:cstheme="minorHAnsi"/>
          <w:lang w:val="fr-FR"/>
        </w:rPr>
        <w:t xml:space="preserve">de </w:t>
      </w:r>
      <w:r w:rsidRPr="00FD1B96">
        <w:rPr>
          <w:rFonts w:cstheme="minorHAnsi"/>
          <w:lang w:val="fr-FR"/>
        </w:rPr>
        <w:t>CSH</w:t>
      </w:r>
      <w:r w:rsidR="0094126E" w:rsidRPr="00FD1B96">
        <w:rPr>
          <w:rFonts w:cstheme="minorHAnsi"/>
          <w:lang w:val="fr-FR"/>
        </w:rPr>
        <w:t xml:space="preserve"> en pédiatrie</w:t>
      </w:r>
      <w:r w:rsidRPr="00FD1B96">
        <w:rPr>
          <w:rFonts w:cstheme="minorHAnsi"/>
          <w:lang w:val="fr-FR"/>
        </w:rPr>
        <w:t>. Parmi ces patients, 38 ont été colonisés par ERV et un seul a été infecté soit une prévalence de colonisation et d’infection de 26% et de 0,7%, respectivement.</w:t>
      </w:r>
      <w:r w:rsidR="002B4AD3" w:rsidRPr="00FD1B96">
        <w:rPr>
          <w:rFonts w:cstheme="minorHAnsi"/>
          <w:lang w:val="fr-FR"/>
        </w:rPr>
        <w:t xml:space="preserve"> Le patient infecté n’a pas été colonisé auparavant par un ERV.</w:t>
      </w:r>
      <w:r w:rsidR="0094126E" w:rsidRPr="00FD1B96">
        <w:rPr>
          <w:rFonts w:cstheme="minorHAnsi"/>
          <w:lang w:val="fr-FR"/>
        </w:rPr>
        <w:t xml:space="preserve"> </w:t>
      </w:r>
    </w:p>
    <w:p w14:paraId="3E574F9B" w14:textId="3C7B70F8" w:rsidR="007D434B" w:rsidRPr="00FD1B96" w:rsidRDefault="007D434B" w:rsidP="00FD1B96">
      <w:pPr>
        <w:jc w:val="both"/>
        <w:rPr>
          <w:rFonts w:cstheme="minorHAnsi"/>
          <w:lang w:val="fr-FR"/>
        </w:rPr>
      </w:pPr>
      <w:r w:rsidRPr="00FD1B96">
        <w:rPr>
          <w:rFonts w:cstheme="minorHAnsi"/>
          <w:lang w:val="fr-FR"/>
        </w:rPr>
        <w:t>Le</w:t>
      </w:r>
      <w:r w:rsidR="002B4AD3" w:rsidRPr="00FD1B96">
        <w:rPr>
          <w:rFonts w:cstheme="minorHAnsi"/>
          <w:lang w:val="fr-FR"/>
        </w:rPr>
        <w:t>s ERV étaient tous résistants aux β-lactamines</w:t>
      </w:r>
      <w:r w:rsidR="006749D3" w:rsidRPr="00FD1B96">
        <w:rPr>
          <w:rFonts w:cstheme="minorHAnsi"/>
          <w:lang w:val="fr-FR"/>
        </w:rPr>
        <w:t xml:space="preserve"> et à la teicoplanine et sensibles à la tigécycline</w:t>
      </w:r>
      <w:r w:rsidR="002B4AD3" w:rsidRPr="00FD1B96">
        <w:rPr>
          <w:rFonts w:cstheme="minorHAnsi"/>
          <w:lang w:val="fr-FR"/>
        </w:rPr>
        <w:t xml:space="preserve">. Ils étaient résistants à l’érythromycine dans </w:t>
      </w:r>
      <w:r w:rsidRPr="00FD1B96">
        <w:rPr>
          <w:rFonts w:cstheme="minorHAnsi"/>
          <w:lang w:val="fr-FR"/>
        </w:rPr>
        <w:t xml:space="preserve">76% </w:t>
      </w:r>
      <w:r w:rsidR="002B4AD3" w:rsidRPr="00FD1B96">
        <w:rPr>
          <w:rFonts w:cstheme="minorHAnsi"/>
          <w:lang w:val="fr-FR"/>
        </w:rPr>
        <w:t>des cas, à l’association q</w:t>
      </w:r>
      <w:r w:rsidR="00876DA0" w:rsidRPr="00FD1B96">
        <w:rPr>
          <w:rFonts w:cstheme="minorHAnsi"/>
          <w:lang w:val="fr-FR"/>
        </w:rPr>
        <w:t>uinupristine</w:t>
      </w:r>
      <w:r w:rsidR="002B4AD3" w:rsidRPr="00FD1B96">
        <w:rPr>
          <w:rFonts w:cstheme="minorHAnsi"/>
          <w:lang w:val="fr-FR"/>
        </w:rPr>
        <w:t>-dalphopristine dans 30% des cas</w:t>
      </w:r>
      <w:r w:rsidR="00876DA0" w:rsidRPr="00FD1B96">
        <w:rPr>
          <w:rFonts w:cstheme="minorHAnsi"/>
          <w:lang w:val="fr-FR"/>
        </w:rPr>
        <w:t xml:space="preserve">, </w:t>
      </w:r>
      <w:r w:rsidR="002B4AD3" w:rsidRPr="00FD1B96">
        <w:rPr>
          <w:rFonts w:cstheme="minorHAnsi"/>
          <w:lang w:val="fr-FR"/>
        </w:rPr>
        <w:t xml:space="preserve">à la gentamicine (résistance de haut niveau) dans 82% des cas et à la rifampicine </w:t>
      </w:r>
      <w:r w:rsidR="009C7E33" w:rsidRPr="00FD1B96">
        <w:rPr>
          <w:rFonts w:cstheme="minorHAnsi"/>
          <w:lang w:val="fr-FR"/>
        </w:rPr>
        <w:t>dans 92</w:t>
      </w:r>
      <w:r w:rsidR="00876DA0" w:rsidRPr="00FD1B96">
        <w:rPr>
          <w:rFonts w:cstheme="minorHAnsi"/>
          <w:lang w:val="fr-FR"/>
        </w:rPr>
        <w:t xml:space="preserve">% </w:t>
      </w:r>
      <w:r w:rsidR="002B4AD3" w:rsidRPr="00FD1B96">
        <w:rPr>
          <w:rFonts w:cstheme="minorHAnsi"/>
          <w:lang w:val="fr-FR"/>
        </w:rPr>
        <w:t>des cas.</w:t>
      </w:r>
      <w:r w:rsidR="006749D3" w:rsidRPr="00FD1B96">
        <w:rPr>
          <w:rFonts w:cstheme="minorHAnsi"/>
          <w:lang w:val="fr-FR"/>
        </w:rPr>
        <w:t xml:space="preserve">  Une seule souche était résistante au linézolide.</w:t>
      </w:r>
    </w:p>
    <w:p w14:paraId="51613F3D" w14:textId="36A74BBA" w:rsidR="00876DA0" w:rsidRPr="00FD1B96" w:rsidRDefault="00876DA0" w:rsidP="00FD1B96">
      <w:pPr>
        <w:jc w:val="both"/>
        <w:rPr>
          <w:rFonts w:cstheme="minorHAnsi"/>
          <w:lang w:val="fr-FR"/>
        </w:rPr>
      </w:pPr>
      <w:r w:rsidRPr="00FD1B96">
        <w:rPr>
          <w:rFonts w:cstheme="minorHAnsi"/>
          <w:lang w:val="fr-FR"/>
        </w:rPr>
        <w:t>Conclusion :</w:t>
      </w:r>
    </w:p>
    <w:p w14:paraId="685ED284" w14:textId="69311E3F" w:rsidR="0094126E" w:rsidRPr="004B30D6" w:rsidRDefault="006749D3" w:rsidP="004E37A1">
      <w:pPr>
        <w:jc w:val="both"/>
        <w:rPr>
          <w:lang w:val="fr-FR"/>
        </w:rPr>
      </w:pPr>
      <w:r w:rsidRPr="00FD1B96">
        <w:rPr>
          <w:rFonts w:cstheme="minorHAnsi"/>
          <w:lang w:val="fr-FR"/>
        </w:rPr>
        <w:t>Faible prévalence des infections à ERV chez les allogreffés de CSH en pédiatrie malgré une prévalence assez élevée des colonisations. Cependant,</w:t>
      </w:r>
      <w:r w:rsidR="004E37A1">
        <w:rPr>
          <w:rFonts w:cstheme="minorHAnsi"/>
          <w:lang w:val="fr-FR"/>
        </w:rPr>
        <w:t xml:space="preserve"> t</w:t>
      </w:r>
      <w:r w:rsidRPr="00FD1B96">
        <w:rPr>
          <w:rFonts w:cstheme="minorHAnsi"/>
          <w:lang w:val="fr-FR"/>
        </w:rPr>
        <w:t xml:space="preserve">aux élevé de résistance </w:t>
      </w:r>
      <w:r w:rsidR="004E37A1" w:rsidRPr="00FD1B96">
        <w:rPr>
          <w:rFonts w:cstheme="minorHAnsi"/>
          <w:lang w:val="fr-FR"/>
        </w:rPr>
        <w:t>à l’association quinupristine-dalphopristine</w:t>
      </w:r>
      <w:r w:rsidRPr="00FD1B96">
        <w:rPr>
          <w:rFonts w:cstheme="minorHAnsi"/>
          <w:lang w:val="fr-FR"/>
        </w:rPr>
        <w:t xml:space="preserve"> et émergence de souche résistante au linézolide </w:t>
      </w:r>
      <w:r w:rsidR="004E37A1">
        <w:rPr>
          <w:rFonts w:cstheme="minorHAnsi"/>
          <w:lang w:val="fr-FR"/>
        </w:rPr>
        <w:t>chez les ERV isolés chez l’enfant.</w:t>
      </w:r>
    </w:p>
    <w:sectPr w:rsidR="0094126E" w:rsidRPr="004B30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0D6"/>
    <w:rsid w:val="001B59FC"/>
    <w:rsid w:val="001D4601"/>
    <w:rsid w:val="002156DE"/>
    <w:rsid w:val="002B4AD3"/>
    <w:rsid w:val="004B30D6"/>
    <w:rsid w:val="004B750D"/>
    <w:rsid w:val="004E37A1"/>
    <w:rsid w:val="006749D3"/>
    <w:rsid w:val="006852F4"/>
    <w:rsid w:val="007B5DAD"/>
    <w:rsid w:val="007C3482"/>
    <w:rsid w:val="007D317E"/>
    <w:rsid w:val="007D434B"/>
    <w:rsid w:val="00876DA0"/>
    <w:rsid w:val="0094126E"/>
    <w:rsid w:val="0095634D"/>
    <w:rsid w:val="009A24CC"/>
    <w:rsid w:val="009C7E33"/>
    <w:rsid w:val="00AD6774"/>
    <w:rsid w:val="00B20C57"/>
    <w:rsid w:val="00BA5081"/>
    <w:rsid w:val="00C7285A"/>
    <w:rsid w:val="00D34DD3"/>
    <w:rsid w:val="00D914F6"/>
    <w:rsid w:val="00F11017"/>
    <w:rsid w:val="00FD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7BD5"/>
  <w15:docId w15:val="{DC02C3B2-1388-4AB6-AEC6-927593AD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34DD3"/>
    <w:rPr>
      <w:rFonts w:ascii="Lucida Sans Unicode" w:hAnsi="Lucida Sans Unicode" w:cs="Lucida Sans Unicode" w:hint="default"/>
      <w:b w:val="0"/>
      <w:bCs w:val="0"/>
      <w:i w:val="0"/>
      <w:iCs w:val="0"/>
      <w:color w:val="333333"/>
      <w:sz w:val="18"/>
      <w:szCs w:val="18"/>
    </w:rPr>
  </w:style>
  <w:style w:type="character" w:customStyle="1" w:styleId="fontstyle11">
    <w:name w:val="fontstyle11"/>
    <w:basedOn w:val="DefaultParagraphFont"/>
    <w:rsid w:val="00D34DD3"/>
    <w:rPr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391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Zouaoui Oussema</dc:creator>
  <cp:keywords/>
  <dc:description/>
  <cp:lastModifiedBy>Zouaoui Oussema</cp:lastModifiedBy>
  <cp:revision>18</cp:revision>
  <dcterms:created xsi:type="dcterms:W3CDTF">2023-03-08T16:12:00Z</dcterms:created>
  <dcterms:modified xsi:type="dcterms:W3CDTF">2023-03-20T10:33:00Z</dcterms:modified>
</cp:coreProperties>
</file>