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61" w:rsidRPr="00216D4C" w:rsidRDefault="00D01074" w:rsidP="00216D4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bidi="ar-TN"/>
        </w:rPr>
      </w:pPr>
      <w:bookmarkStart w:id="0" w:name="_GoBack"/>
      <w:r w:rsidRPr="00216D4C">
        <w:rPr>
          <w:rFonts w:cstheme="minorHAnsi"/>
          <w:b/>
          <w:bCs/>
          <w:sz w:val="24"/>
          <w:szCs w:val="24"/>
        </w:rPr>
        <w:t>Antibiotic resistance of bacterial strains isolated from houseflies (</w:t>
      </w:r>
      <w:r w:rsidRPr="00216D4C">
        <w:rPr>
          <w:rFonts w:cstheme="minorHAnsi"/>
          <w:b/>
          <w:bCs/>
          <w:i/>
          <w:iCs/>
          <w:sz w:val="24"/>
          <w:szCs w:val="24"/>
        </w:rPr>
        <w:t xml:space="preserve">Musca </w:t>
      </w:r>
      <w:proofErr w:type="spellStart"/>
      <w:r w:rsidRPr="00216D4C">
        <w:rPr>
          <w:rFonts w:cstheme="minorHAnsi"/>
          <w:b/>
          <w:bCs/>
          <w:i/>
          <w:iCs/>
          <w:sz w:val="24"/>
          <w:szCs w:val="24"/>
        </w:rPr>
        <w:t>domestica</w:t>
      </w:r>
      <w:proofErr w:type="spellEnd"/>
      <w:r w:rsidRPr="00216D4C">
        <w:rPr>
          <w:rFonts w:cstheme="minorHAnsi"/>
          <w:b/>
          <w:bCs/>
          <w:sz w:val="24"/>
          <w:szCs w:val="24"/>
        </w:rPr>
        <w:t>) in Tunisia</w:t>
      </w:r>
    </w:p>
    <w:p w:rsidR="00216D4C" w:rsidRDefault="00216D4C" w:rsidP="00216D4C">
      <w:pPr>
        <w:spacing w:after="0" w:line="360" w:lineRule="auto"/>
        <w:jc w:val="both"/>
        <w:rPr>
          <w:rFonts w:cstheme="minorHAnsi"/>
          <w:sz w:val="24"/>
          <w:szCs w:val="24"/>
          <w:lang w:bidi="ar-TN"/>
        </w:rPr>
      </w:pPr>
    </w:p>
    <w:p w:rsidR="00B31D61" w:rsidRPr="00216D4C" w:rsidRDefault="00B31D61" w:rsidP="00541A67">
      <w:pPr>
        <w:spacing w:after="0" w:line="360" w:lineRule="auto"/>
        <w:jc w:val="both"/>
        <w:rPr>
          <w:rFonts w:cstheme="minorHAnsi"/>
          <w:sz w:val="24"/>
          <w:szCs w:val="24"/>
          <w:lang w:bidi="ar-TN"/>
        </w:rPr>
      </w:pPr>
      <w:proofErr w:type="spellStart"/>
      <w:r w:rsidRPr="00541A67">
        <w:rPr>
          <w:rFonts w:cstheme="minorHAnsi"/>
          <w:b/>
          <w:bCs/>
          <w:sz w:val="24"/>
          <w:szCs w:val="24"/>
          <w:lang w:bidi="ar-TN"/>
        </w:rPr>
        <w:t>Gh</w:t>
      </w:r>
      <w:r w:rsidR="00541A67" w:rsidRPr="00541A67">
        <w:rPr>
          <w:rFonts w:cstheme="minorHAnsi"/>
          <w:b/>
          <w:bCs/>
          <w:sz w:val="24"/>
          <w:szCs w:val="24"/>
          <w:lang w:bidi="ar-TN"/>
        </w:rPr>
        <w:t>assan</w:t>
      </w:r>
      <w:proofErr w:type="spellEnd"/>
      <w:r w:rsidRPr="00541A67">
        <w:rPr>
          <w:rFonts w:cstheme="minorHAnsi"/>
          <w:b/>
          <w:bCs/>
          <w:sz w:val="24"/>
          <w:szCs w:val="24"/>
          <w:lang w:bidi="ar-TN"/>
        </w:rPr>
        <w:t xml:space="preserve"> T</w:t>
      </w:r>
      <w:r w:rsidR="00BD67EC" w:rsidRPr="00541A67">
        <w:rPr>
          <w:rFonts w:cstheme="minorHAnsi"/>
          <w:b/>
          <w:bCs/>
          <w:sz w:val="24"/>
          <w:szCs w:val="24"/>
          <w:lang w:bidi="ar-TN"/>
        </w:rPr>
        <w:t>AYH</w:t>
      </w:r>
      <w:r w:rsidR="00541A67" w:rsidRPr="00541A67">
        <w:rPr>
          <w:rFonts w:cstheme="minorHAnsi"/>
          <w:b/>
          <w:bCs/>
          <w:sz w:val="24"/>
          <w:szCs w:val="24"/>
          <w:lang w:bidi="ar-TN"/>
        </w:rPr>
        <w:t>*</w:t>
      </w:r>
      <w:r w:rsidR="00D01074" w:rsidRPr="00216D4C">
        <w:rPr>
          <w:rFonts w:cstheme="minorHAnsi"/>
          <w:sz w:val="24"/>
          <w:szCs w:val="24"/>
          <w:lang w:bidi="ar-TN"/>
        </w:rPr>
        <w:t>,</w:t>
      </w:r>
      <w:r w:rsidR="00944A04" w:rsidRPr="00216D4C">
        <w:rPr>
          <w:rFonts w:cstheme="minorHAnsi"/>
          <w:sz w:val="24"/>
          <w:szCs w:val="24"/>
          <w:lang w:bidi="ar-TN"/>
        </w:rPr>
        <w:t xml:space="preserve"> </w:t>
      </w:r>
      <w:proofErr w:type="spellStart"/>
      <w:r w:rsidR="00D01074" w:rsidRPr="00216D4C">
        <w:rPr>
          <w:rFonts w:cstheme="minorHAnsi"/>
          <w:sz w:val="24"/>
          <w:szCs w:val="24"/>
          <w:lang w:bidi="ar-TN"/>
        </w:rPr>
        <w:t>Ghaya</w:t>
      </w:r>
      <w:proofErr w:type="spellEnd"/>
      <w:r w:rsidR="00D01074" w:rsidRPr="00216D4C">
        <w:rPr>
          <w:rFonts w:cstheme="minorHAnsi"/>
          <w:sz w:val="24"/>
          <w:szCs w:val="24"/>
          <w:lang w:bidi="ar-TN"/>
        </w:rPr>
        <w:t xml:space="preserve"> JEBALI</w:t>
      </w:r>
      <w:r w:rsidR="00B85487">
        <w:rPr>
          <w:rFonts w:cstheme="minorHAnsi"/>
          <w:sz w:val="24"/>
          <w:szCs w:val="24"/>
          <w:lang w:bidi="ar-TN"/>
        </w:rPr>
        <w:t>,</w:t>
      </w:r>
      <w:r w:rsidR="00D01074" w:rsidRPr="00216D4C">
        <w:rPr>
          <w:rFonts w:cstheme="minorHAnsi"/>
          <w:sz w:val="24"/>
          <w:szCs w:val="24"/>
          <w:lang w:bidi="ar-TN"/>
        </w:rPr>
        <w:t xml:space="preserve"> </w:t>
      </w:r>
      <w:proofErr w:type="spellStart"/>
      <w:r w:rsidR="00B85487">
        <w:rPr>
          <w:rFonts w:cstheme="minorHAnsi"/>
          <w:sz w:val="24"/>
          <w:szCs w:val="24"/>
          <w:lang w:bidi="ar-TN"/>
        </w:rPr>
        <w:t>Monia</w:t>
      </w:r>
      <w:proofErr w:type="spellEnd"/>
      <w:r w:rsidR="00B85487">
        <w:rPr>
          <w:rFonts w:cstheme="minorHAnsi"/>
          <w:sz w:val="24"/>
          <w:szCs w:val="24"/>
          <w:lang w:bidi="ar-TN"/>
        </w:rPr>
        <w:t xml:space="preserve"> </w:t>
      </w:r>
      <w:proofErr w:type="spellStart"/>
      <w:r w:rsidR="00B85487">
        <w:rPr>
          <w:rFonts w:cstheme="minorHAnsi"/>
          <w:sz w:val="24"/>
          <w:szCs w:val="24"/>
          <w:lang w:bidi="ar-TN"/>
        </w:rPr>
        <w:t>Daaloul</w:t>
      </w:r>
      <w:proofErr w:type="spellEnd"/>
      <w:r w:rsidR="00B85487">
        <w:rPr>
          <w:rFonts w:cstheme="minorHAnsi"/>
          <w:sz w:val="24"/>
          <w:szCs w:val="24"/>
          <w:lang w:bidi="ar-TN"/>
        </w:rPr>
        <w:t xml:space="preserve"> </w:t>
      </w:r>
      <w:r w:rsidRPr="00216D4C">
        <w:rPr>
          <w:rFonts w:cstheme="minorHAnsi"/>
          <w:sz w:val="24"/>
          <w:szCs w:val="24"/>
          <w:lang w:bidi="ar-TN"/>
        </w:rPr>
        <w:t>and Lilia</w:t>
      </w:r>
      <w:r w:rsidR="00BD67EC">
        <w:rPr>
          <w:rFonts w:cstheme="minorHAnsi"/>
          <w:sz w:val="24"/>
          <w:szCs w:val="24"/>
          <w:lang w:bidi="ar-TN"/>
        </w:rPr>
        <w:t xml:space="preserve"> MESSADI</w:t>
      </w:r>
      <w:r w:rsidRPr="00216D4C">
        <w:rPr>
          <w:rFonts w:cstheme="minorHAnsi"/>
          <w:sz w:val="24"/>
          <w:szCs w:val="24"/>
          <w:lang w:bidi="ar-TN"/>
        </w:rPr>
        <w:t xml:space="preserve"> </w:t>
      </w:r>
    </w:p>
    <w:p w:rsidR="00AA16DD" w:rsidRDefault="00944A04" w:rsidP="00216D4C">
      <w:p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 w:rsidRPr="00216D4C">
        <w:rPr>
          <w:rFonts w:cstheme="minorHAnsi"/>
          <w:sz w:val="24"/>
          <w:szCs w:val="24"/>
          <w:vertAlign w:val="superscript"/>
          <w:lang w:val="fr-FR"/>
        </w:rPr>
        <w:t>1</w:t>
      </w:r>
      <w:r w:rsidR="00B31D61" w:rsidRPr="00216D4C">
        <w:rPr>
          <w:rFonts w:cstheme="minorHAnsi"/>
          <w:sz w:val="24"/>
          <w:szCs w:val="24"/>
          <w:lang w:val="fr-FR"/>
        </w:rPr>
        <w:t xml:space="preserve">Service de Microbiologie et d’Immunologie, Ecole Nationale de Médecine Vétérinaire, </w:t>
      </w:r>
      <w:r w:rsidR="00AA16DD" w:rsidRPr="00216D4C">
        <w:rPr>
          <w:rFonts w:cstheme="minorHAnsi"/>
          <w:sz w:val="24"/>
          <w:szCs w:val="24"/>
          <w:lang w:val="fr-FR"/>
        </w:rPr>
        <w:t xml:space="preserve">Université de La </w:t>
      </w:r>
      <w:proofErr w:type="spellStart"/>
      <w:r w:rsidR="00AA16DD" w:rsidRPr="00216D4C">
        <w:rPr>
          <w:rFonts w:cstheme="minorHAnsi"/>
          <w:sz w:val="24"/>
          <w:szCs w:val="24"/>
          <w:lang w:val="fr-FR"/>
        </w:rPr>
        <w:t>Manouba</w:t>
      </w:r>
      <w:proofErr w:type="spellEnd"/>
      <w:r w:rsidR="00AA16DD" w:rsidRPr="00216D4C">
        <w:rPr>
          <w:rFonts w:cstheme="minorHAnsi"/>
          <w:sz w:val="24"/>
          <w:szCs w:val="24"/>
          <w:lang w:val="fr-FR"/>
        </w:rPr>
        <w:t xml:space="preserve">, 2020 Sidi </w:t>
      </w:r>
      <w:proofErr w:type="spellStart"/>
      <w:r w:rsidR="00AA16DD" w:rsidRPr="00216D4C">
        <w:rPr>
          <w:rFonts w:cstheme="minorHAnsi"/>
          <w:sz w:val="24"/>
          <w:szCs w:val="24"/>
          <w:lang w:val="fr-FR"/>
        </w:rPr>
        <w:t>Thabet</w:t>
      </w:r>
      <w:proofErr w:type="spellEnd"/>
      <w:r w:rsidR="00AA16DD" w:rsidRPr="00216D4C">
        <w:rPr>
          <w:rFonts w:cstheme="minorHAnsi"/>
          <w:sz w:val="24"/>
          <w:szCs w:val="24"/>
          <w:lang w:val="fr-FR" w:bidi="ar-TN"/>
        </w:rPr>
        <w:t>,</w:t>
      </w:r>
      <w:r w:rsidR="00AA16DD" w:rsidRPr="00216D4C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AA16DD" w:rsidRPr="00216D4C">
        <w:rPr>
          <w:rFonts w:cstheme="minorHAnsi"/>
          <w:sz w:val="24"/>
          <w:szCs w:val="24"/>
          <w:lang w:val="fr-FR"/>
        </w:rPr>
        <w:t>Ariana</w:t>
      </w:r>
      <w:proofErr w:type="spellEnd"/>
      <w:r w:rsidR="00AA16DD" w:rsidRPr="00216D4C">
        <w:rPr>
          <w:rFonts w:cstheme="minorHAnsi"/>
          <w:sz w:val="24"/>
          <w:szCs w:val="24"/>
          <w:lang w:val="fr-FR"/>
        </w:rPr>
        <w:t>, Tunisie.</w:t>
      </w:r>
    </w:p>
    <w:p w:rsidR="00A97E30" w:rsidRDefault="00A97E30" w:rsidP="00A97E30">
      <w:p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 w:rsidRPr="00A97E30">
        <w:rPr>
          <w:rFonts w:cstheme="minorHAnsi"/>
          <w:sz w:val="24"/>
          <w:szCs w:val="24"/>
          <w:lang w:val="fr-FR"/>
        </w:rPr>
        <w:t xml:space="preserve">Email : </w:t>
      </w:r>
      <w:hyperlink r:id="rId4" w:history="1">
        <w:r w:rsidRPr="00FE52B5">
          <w:rPr>
            <w:rStyle w:val="Lienhypertexte"/>
            <w:rFonts w:cstheme="minorHAnsi"/>
            <w:sz w:val="24"/>
            <w:szCs w:val="24"/>
            <w:lang w:val="fr-FR"/>
          </w:rPr>
          <w:t>ghassan.tayh@fst.rnu.tn</w:t>
        </w:r>
      </w:hyperlink>
    </w:p>
    <w:p w:rsidR="00A97E30" w:rsidRPr="00216D4C" w:rsidRDefault="00A97E30" w:rsidP="00A97E30">
      <w:p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 w:rsidRPr="00A97E30">
        <w:rPr>
          <w:rFonts w:cstheme="minorHAnsi"/>
          <w:sz w:val="24"/>
          <w:szCs w:val="24"/>
          <w:lang w:val="fr-FR"/>
        </w:rPr>
        <w:t>Mobile : +21652222463</w:t>
      </w:r>
    </w:p>
    <w:p w:rsidR="00B958EE" w:rsidRPr="009B40B4" w:rsidRDefault="00B958EE" w:rsidP="00216D4C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fr-FR"/>
        </w:rPr>
      </w:pPr>
      <w:r w:rsidRPr="009B40B4">
        <w:rPr>
          <w:rFonts w:cstheme="minorHAnsi"/>
          <w:b/>
          <w:bCs/>
          <w:sz w:val="24"/>
          <w:szCs w:val="24"/>
          <w:lang w:val="fr-FR"/>
        </w:rPr>
        <w:t>ABSTRACT</w:t>
      </w:r>
    </w:p>
    <w:p w:rsidR="002909A8" w:rsidRPr="00A0540C" w:rsidRDefault="002909A8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216D4C">
        <w:rPr>
          <w:rFonts w:cstheme="minorHAnsi"/>
          <w:b/>
          <w:bCs/>
          <w:sz w:val="24"/>
          <w:szCs w:val="24"/>
        </w:rPr>
        <w:t xml:space="preserve">Background: </w:t>
      </w:r>
      <w:r w:rsidRPr="00216D4C">
        <w:rPr>
          <w:rFonts w:cstheme="minorHAnsi"/>
          <w:sz w:val="24"/>
          <w:szCs w:val="24"/>
        </w:rPr>
        <w:t>The houseflies (</w:t>
      </w:r>
      <w:r w:rsidRPr="00216D4C">
        <w:rPr>
          <w:rFonts w:cstheme="minorHAnsi"/>
          <w:i/>
          <w:iCs/>
          <w:sz w:val="24"/>
          <w:szCs w:val="24"/>
        </w:rPr>
        <w:t xml:space="preserve">Musca </w:t>
      </w:r>
      <w:proofErr w:type="spellStart"/>
      <w:r w:rsidRPr="00216D4C">
        <w:rPr>
          <w:rFonts w:cstheme="minorHAnsi"/>
          <w:i/>
          <w:iCs/>
          <w:sz w:val="24"/>
          <w:szCs w:val="24"/>
        </w:rPr>
        <w:t>domestica</w:t>
      </w:r>
      <w:proofErr w:type="spellEnd"/>
      <w:r w:rsidRPr="00216D4C">
        <w:rPr>
          <w:rFonts w:cstheme="minorHAnsi"/>
          <w:sz w:val="24"/>
          <w:szCs w:val="24"/>
        </w:rPr>
        <w:t xml:space="preserve">) </w:t>
      </w:r>
      <w:r w:rsidR="00B85487" w:rsidRPr="00A0540C">
        <w:rPr>
          <w:rFonts w:cstheme="minorHAnsi"/>
          <w:sz w:val="24"/>
          <w:szCs w:val="24"/>
          <w:lang w:val="en-GB"/>
        </w:rPr>
        <w:t>live</w:t>
      </w:r>
      <w:r w:rsidR="00B85487" w:rsidRPr="00216D4C">
        <w:rPr>
          <w:rFonts w:cstheme="minorHAnsi"/>
          <w:sz w:val="24"/>
          <w:szCs w:val="24"/>
        </w:rPr>
        <w:t xml:space="preserve"> </w:t>
      </w:r>
      <w:r w:rsidRPr="00216D4C">
        <w:rPr>
          <w:rFonts w:cstheme="minorHAnsi"/>
          <w:sz w:val="24"/>
          <w:szCs w:val="24"/>
        </w:rPr>
        <w:t>in close contact with humans. They are carriers of human pathogenic bacteria in their digestive tracts and on their bodies</w:t>
      </w:r>
      <w:r w:rsidR="00216D4C" w:rsidRPr="00216D4C">
        <w:rPr>
          <w:rFonts w:cstheme="minorHAnsi"/>
          <w:sz w:val="24"/>
          <w:szCs w:val="24"/>
        </w:rPr>
        <w:t>. These insects</w:t>
      </w:r>
      <w:r w:rsidRPr="00216D4C">
        <w:rPr>
          <w:rFonts w:cstheme="minorHAnsi"/>
          <w:sz w:val="24"/>
          <w:szCs w:val="24"/>
        </w:rPr>
        <w:t xml:space="preserve"> have been </w:t>
      </w:r>
      <w:r w:rsidR="006B08F0" w:rsidRPr="00216D4C">
        <w:rPr>
          <w:rFonts w:cstheme="minorHAnsi"/>
          <w:sz w:val="24"/>
          <w:szCs w:val="24"/>
        </w:rPr>
        <w:t>involved</w:t>
      </w:r>
      <w:r w:rsidRPr="00216D4C">
        <w:rPr>
          <w:rFonts w:cstheme="minorHAnsi"/>
          <w:sz w:val="24"/>
          <w:szCs w:val="24"/>
        </w:rPr>
        <w:t xml:space="preserve"> as vectors of </w:t>
      </w:r>
      <w:r w:rsidR="006B08F0" w:rsidRPr="00216D4C">
        <w:rPr>
          <w:rFonts w:cstheme="minorHAnsi"/>
          <w:sz w:val="24"/>
          <w:szCs w:val="24"/>
        </w:rPr>
        <w:t>different</w:t>
      </w:r>
      <w:r w:rsidRPr="00216D4C">
        <w:rPr>
          <w:rFonts w:cstheme="minorHAnsi"/>
          <w:sz w:val="24"/>
          <w:szCs w:val="24"/>
        </w:rPr>
        <w:t xml:space="preserve"> human pathogens</w:t>
      </w:r>
      <w:r w:rsidR="00B85487">
        <w:rPr>
          <w:rFonts w:cstheme="minorHAnsi"/>
          <w:sz w:val="24"/>
          <w:szCs w:val="24"/>
        </w:rPr>
        <w:t xml:space="preserve"> or multidrug resistant bacteria</w:t>
      </w:r>
      <w:r w:rsidRPr="00216D4C">
        <w:rPr>
          <w:rFonts w:cstheme="minorHAnsi"/>
          <w:sz w:val="24"/>
          <w:szCs w:val="24"/>
        </w:rPr>
        <w:t xml:space="preserve">, </w:t>
      </w:r>
      <w:r w:rsidR="006B08F0" w:rsidRPr="00216D4C">
        <w:rPr>
          <w:rFonts w:cstheme="minorHAnsi"/>
          <w:sz w:val="24"/>
          <w:szCs w:val="24"/>
        </w:rPr>
        <w:t>such as</w:t>
      </w:r>
      <w:r w:rsidRPr="00216D4C">
        <w:rPr>
          <w:rFonts w:cstheme="minorHAnsi"/>
          <w:sz w:val="24"/>
          <w:szCs w:val="24"/>
        </w:rPr>
        <w:t xml:space="preserve"> </w:t>
      </w:r>
      <w:proofErr w:type="spellStart"/>
      <w:r w:rsidRPr="00216D4C">
        <w:rPr>
          <w:rFonts w:cstheme="minorHAnsi"/>
          <w:i/>
          <w:iCs/>
          <w:sz w:val="24"/>
          <w:szCs w:val="24"/>
        </w:rPr>
        <w:t>Enterobacteriaceae</w:t>
      </w:r>
      <w:proofErr w:type="spellEnd"/>
      <w:r w:rsidRPr="00216D4C">
        <w:rPr>
          <w:rFonts w:cstheme="minorHAnsi"/>
          <w:sz w:val="24"/>
          <w:szCs w:val="24"/>
        </w:rPr>
        <w:t xml:space="preserve">, </w:t>
      </w:r>
      <w:r w:rsidRPr="00216D4C">
        <w:rPr>
          <w:rFonts w:cstheme="minorHAnsi"/>
          <w:i/>
          <w:iCs/>
          <w:sz w:val="24"/>
          <w:szCs w:val="24"/>
        </w:rPr>
        <w:t>Staphylococcus aureus</w:t>
      </w:r>
      <w:r w:rsidRPr="00216D4C">
        <w:rPr>
          <w:rFonts w:cstheme="minorHAnsi"/>
          <w:sz w:val="24"/>
          <w:szCs w:val="24"/>
        </w:rPr>
        <w:t xml:space="preserve">, and </w:t>
      </w:r>
      <w:r w:rsidRPr="00216D4C">
        <w:rPr>
          <w:rFonts w:cstheme="minorHAnsi"/>
          <w:i/>
          <w:iCs/>
          <w:sz w:val="24"/>
          <w:szCs w:val="24"/>
        </w:rPr>
        <w:t xml:space="preserve">Pseudomonas </w:t>
      </w:r>
      <w:r w:rsidRPr="00A0540C">
        <w:rPr>
          <w:rFonts w:cstheme="minorHAnsi"/>
          <w:sz w:val="24"/>
          <w:szCs w:val="24"/>
        </w:rPr>
        <w:t>spp</w:t>
      </w:r>
      <w:r w:rsidRPr="00216D4C">
        <w:rPr>
          <w:rFonts w:cstheme="minorHAnsi"/>
          <w:i/>
          <w:iCs/>
          <w:sz w:val="24"/>
          <w:szCs w:val="24"/>
        </w:rPr>
        <w:t>.</w:t>
      </w:r>
      <w:r w:rsidR="006B08F0" w:rsidRPr="00216D4C">
        <w:rPr>
          <w:rFonts w:cstheme="minorHAnsi"/>
          <w:i/>
          <w:iCs/>
          <w:sz w:val="24"/>
          <w:szCs w:val="24"/>
        </w:rPr>
        <w:t xml:space="preserve"> </w:t>
      </w:r>
      <w:r w:rsidR="006B08F0" w:rsidRPr="00216D4C">
        <w:rPr>
          <w:rFonts w:cstheme="minorHAnsi"/>
          <w:sz w:val="24"/>
          <w:szCs w:val="24"/>
        </w:rPr>
        <w:t>This study aimed</w:t>
      </w:r>
      <w:r w:rsidR="006B08F0" w:rsidRPr="00216D4C">
        <w:rPr>
          <w:rFonts w:cstheme="minorHAnsi"/>
          <w:i/>
          <w:iCs/>
          <w:sz w:val="24"/>
          <w:szCs w:val="24"/>
        </w:rPr>
        <w:t xml:space="preserve"> </w:t>
      </w:r>
      <w:r w:rsidR="006B08F0" w:rsidRPr="00216D4C">
        <w:rPr>
          <w:rFonts w:cstheme="minorHAnsi"/>
          <w:sz w:val="24"/>
          <w:szCs w:val="24"/>
        </w:rPr>
        <w:t xml:space="preserve">to assess the prevalence of </w:t>
      </w:r>
      <w:r w:rsidR="00216D4C" w:rsidRPr="00216D4C">
        <w:rPr>
          <w:rFonts w:cstheme="minorHAnsi"/>
          <w:sz w:val="24"/>
          <w:szCs w:val="24"/>
        </w:rPr>
        <w:t>antibiotic-resistant</w:t>
      </w:r>
      <w:r w:rsidR="006B08F0" w:rsidRPr="00216D4C">
        <w:rPr>
          <w:rFonts w:cstheme="minorHAnsi"/>
          <w:sz w:val="24"/>
          <w:szCs w:val="24"/>
        </w:rPr>
        <w:t xml:space="preserve"> </w:t>
      </w:r>
      <w:r w:rsidR="00C01A29" w:rsidRPr="00216D4C">
        <w:rPr>
          <w:rFonts w:cstheme="minorHAnsi"/>
          <w:sz w:val="24"/>
          <w:szCs w:val="24"/>
        </w:rPr>
        <w:t>Gram-negative bacteria</w:t>
      </w:r>
      <w:r w:rsidR="006B08F0" w:rsidRPr="00216D4C">
        <w:rPr>
          <w:rFonts w:cstheme="minorHAnsi"/>
          <w:sz w:val="24"/>
          <w:szCs w:val="24"/>
        </w:rPr>
        <w:t xml:space="preserve"> in flies collected </w:t>
      </w:r>
      <w:r w:rsidR="00C01A29" w:rsidRPr="00216D4C">
        <w:rPr>
          <w:rFonts w:cstheme="minorHAnsi"/>
          <w:sz w:val="24"/>
          <w:szCs w:val="24"/>
        </w:rPr>
        <w:t>from laying hen, a market, and houses in Tunisia.</w:t>
      </w:r>
    </w:p>
    <w:p w:rsidR="00B958EE" w:rsidRPr="00216D4C" w:rsidRDefault="009752C4">
      <w:pPr>
        <w:spacing w:line="360" w:lineRule="auto"/>
        <w:jc w:val="both"/>
        <w:rPr>
          <w:rFonts w:cstheme="minorHAnsi"/>
          <w:sz w:val="24"/>
          <w:szCs w:val="24"/>
        </w:rPr>
      </w:pPr>
      <w:r w:rsidRPr="00216D4C">
        <w:rPr>
          <w:rFonts w:cstheme="minorHAnsi"/>
          <w:b/>
          <w:bCs/>
          <w:sz w:val="24"/>
          <w:szCs w:val="24"/>
        </w:rPr>
        <w:t xml:space="preserve">Material and methods: </w:t>
      </w:r>
      <w:r w:rsidR="00B958EE" w:rsidRPr="00216D4C">
        <w:rPr>
          <w:rFonts w:cstheme="minorHAnsi"/>
          <w:sz w:val="24"/>
          <w:szCs w:val="24"/>
        </w:rPr>
        <w:t xml:space="preserve">One hundred houseflies </w:t>
      </w:r>
      <w:r w:rsidR="00435145">
        <w:rPr>
          <w:rFonts w:cstheme="minorHAnsi"/>
          <w:sz w:val="24"/>
          <w:szCs w:val="24"/>
        </w:rPr>
        <w:t>were</w:t>
      </w:r>
      <w:r w:rsidR="00B85487" w:rsidRPr="00216D4C">
        <w:rPr>
          <w:rFonts w:cstheme="minorHAnsi"/>
          <w:sz w:val="24"/>
          <w:szCs w:val="24"/>
        </w:rPr>
        <w:t xml:space="preserve"> </w:t>
      </w:r>
      <w:r w:rsidR="00B958EE" w:rsidRPr="00216D4C">
        <w:rPr>
          <w:rFonts w:cstheme="minorHAnsi"/>
          <w:sz w:val="24"/>
          <w:szCs w:val="24"/>
        </w:rPr>
        <w:t xml:space="preserve">collected between September and December 2019 from three different locations: </w:t>
      </w:r>
      <w:r w:rsidR="00B85487">
        <w:rPr>
          <w:rFonts w:cstheme="minorHAnsi"/>
          <w:sz w:val="24"/>
          <w:szCs w:val="24"/>
        </w:rPr>
        <w:t xml:space="preserve">a </w:t>
      </w:r>
      <w:r w:rsidR="00B958EE" w:rsidRPr="00216D4C">
        <w:rPr>
          <w:rFonts w:cstheme="minorHAnsi"/>
          <w:sz w:val="24"/>
          <w:szCs w:val="24"/>
        </w:rPr>
        <w:t>laying hen</w:t>
      </w:r>
      <w:r w:rsidR="00B85487">
        <w:rPr>
          <w:rFonts w:cstheme="minorHAnsi"/>
          <w:sz w:val="24"/>
          <w:szCs w:val="24"/>
        </w:rPr>
        <w:t xml:space="preserve"> farm</w:t>
      </w:r>
      <w:r w:rsidR="00B958EE" w:rsidRPr="00216D4C">
        <w:rPr>
          <w:rFonts w:cstheme="minorHAnsi"/>
          <w:sz w:val="24"/>
          <w:szCs w:val="24"/>
        </w:rPr>
        <w:t>, a market</w:t>
      </w:r>
      <w:r w:rsidRPr="00216D4C">
        <w:rPr>
          <w:rFonts w:cstheme="minorHAnsi"/>
          <w:sz w:val="24"/>
          <w:szCs w:val="24"/>
        </w:rPr>
        <w:t>,</w:t>
      </w:r>
      <w:r w:rsidR="00B958EE" w:rsidRPr="00216D4C">
        <w:rPr>
          <w:rFonts w:cstheme="minorHAnsi"/>
          <w:sz w:val="24"/>
          <w:szCs w:val="24"/>
        </w:rPr>
        <w:t xml:space="preserve"> </w:t>
      </w:r>
      <w:r w:rsidRPr="00216D4C">
        <w:rPr>
          <w:rFonts w:cstheme="minorHAnsi"/>
          <w:sz w:val="24"/>
          <w:szCs w:val="24"/>
        </w:rPr>
        <w:t xml:space="preserve">and houses. Sixty-one isolates, comprising 23 </w:t>
      </w:r>
      <w:r w:rsidRPr="00216D4C">
        <w:rPr>
          <w:rFonts w:cstheme="minorHAnsi"/>
          <w:i/>
          <w:iCs/>
          <w:sz w:val="24"/>
          <w:szCs w:val="24"/>
        </w:rPr>
        <w:t>E</w:t>
      </w:r>
      <w:proofErr w:type="spellStart"/>
      <w:r w:rsidR="00B85487" w:rsidRPr="00A0540C">
        <w:rPr>
          <w:rFonts w:cstheme="minorHAnsi"/>
          <w:i/>
          <w:iCs/>
          <w:sz w:val="24"/>
          <w:szCs w:val="24"/>
          <w:lang w:val="en-GB"/>
        </w:rPr>
        <w:t>scherichia</w:t>
      </w:r>
      <w:proofErr w:type="spellEnd"/>
      <w:r w:rsidRPr="00216D4C">
        <w:rPr>
          <w:rFonts w:cstheme="minorHAnsi"/>
          <w:i/>
          <w:iCs/>
          <w:sz w:val="24"/>
          <w:szCs w:val="24"/>
        </w:rPr>
        <w:t xml:space="preserve"> coli</w:t>
      </w:r>
      <w:r w:rsidR="00B85487" w:rsidRPr="00A0540C">
        <w:rPr>
          <w:rFonts w:cstheme="minorHAnsi"/>
          <w:i/>
          <w:iCs/>
          <w:sz w:val="24"/>
          <w:szCs w:val="24"/>
          <w:lang w:val="en-GB"/>
        </w:rPr>
        <w:t xml:space="preserve">, </w:t>
      </w:r>
      <w:r w:rsidRPr="00216D4C">
        <w:rPr>
          <w:rFonts w:cstheme="minorHAnsi"/>
          <w:sz w:val="24"/>
          <w:szCs w:val="24"/>
        </w:rPr>
        <w:t xml:space="preserve">31 </w:t>
      </w:r>
      <w:r w:rsidRPr="00216D4C">
        <w:rPr>
          <w:rFonts w:cstheme="minorHAnsi"/>
          <w:i/>
          <w:iCs/>
          <w:sz w:val="24"/>
          <w:szCs w:val="24"/>
        </w:rPr>
        <w:t>K</w:t>
      </w:r>
      <w:proofErr w:type="spellStart"/>
      <w:r w:rsidR="00B85487" w:rsidRPr="00A0540C">
        <w:rPr>
          <w:rFonts w:cstheme="minorHAnsi"/>
          <w:i/>
          <w:iCs/>
          <w:sz w:val="24"/>
          <w:szCs w:val="24"/>
          <w:lang w:val="en-GB"/>
        </w:rPr>
        <w:t>lebsiella</w:t>
      </w:r>
      <w:proofErr w:type="spellEnd"/>
      <w:r w:rsidRPr="00216D4C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16D4C">
        <w:rPr>
          <w:rFonts w:cstheme="minorHAnsi"/>
          <w:i/>
          <w:iCs/>
          <w:sz w:val="24"/>
          <w:szCs w:val="24"/>
        </w:rPr>
        <w:t>pneumoniae</w:t>
      </w:r>
      <w:proofErr w:type="spellEnd"/>
      <w:r w:rsidRPr="00216D4C">
        <w:rPr>
          <w:rFonts w:cstheme="minorHAnsi"/>
          <w:sz w:val="24"/>
          <w:szCs w:val="24"/>
        </w:rPr>
        <w:t xml:space="preserve"> and</w:t>
      </w:r>
      <w:r w:rsidR="00216D4C" w:rsidRPr="00216D4C">
        <w:rPr>
          <w:rFonts w:cstheme="minorHAnsi"/>
          <w:sz w:val="24"/>
          <w:szCs w:val="24"/>
        </w:rPr>
        <w:t xml:space="preserve"> 7</w:t>
      </w:r>
      <w:r w:rsidRPr="00216D4C">
        <w:rPr>
          <w:rFonts w:cstheme="minorHAnsi"/>
          <w:sz w:val="24"/>
          <w:szCs w:val="24"/>
        </w:rPr>
        <w:t xml:space="preserve"> </w:t>
      </w:r>
      <w:r w:rsidRPr="00216D4C">
        <w:rPr>
          <w:rFonts w:cstheme="minorHAnsi"/>
          <w:i/>
          <w:iCs/>
          <w:sz w:val="24"/>
          <w:szCs w:val="24"/>
        </w:rPr>
        <w:t>P</w:t>
      </w:r>
      <w:proofErr w:type="spellStart"/>
      <w:r w:rsidR="00B85487" w:rsidRPr="00A0540C">
        <w:rPr>
          <w:rFonts w:cstheme="minorHAnsi"/>
          <w:i/>
          <w:iCs/>
          <w:sz w:val="24"/>
          <w:szCs w:val="24"/>
          <w:lang w:val="en-GB"/>
        </w:rPr>
        <w:t>seudomonas</w:t>
      </w:r>
      <w:proofErr w:type="spellEnd"/>
      <w:r w:rsidRPr="00216D4C">
        <w:rPr>
          <w:rFonts w:cstheme="minorHAnsi"/>
          <w:i/>
          <w:iCs/>
          <w:sz w:val="24"/>
          <w:szCs w:val="24"/>
        </w:rPr>
        <w:t xml:space="preserve"> aeruginosa</w:t>
      </w:r>
      <w:r w:rsidRPr="00216D4C">
        <w:rPr>
          <w:rFonts w:cstheme="minorHAnsi"/>
          <w:sz w:val="24"/>
          <w:szCs w:val="24"/>
        </w:rPr>
        <w:t xml:space="preserve"> were obtained. The antimicrobial sensitivity was determined by the disk diffusion method using twenty-one antibiotics discs, </w:t>
      </w:r>
      <w:r w:rsidR="00B85487" w:rsidRPr="00A0540C">
        <w:rPr>
          <w:rFonts w:cstheme="minorHAnsi"/>
          <w:sz w:val="24"/>
          <w:szCs w:val="24"/>
          <w:lang w:val="en-GB"/>
        </w:rPr>
        <w:t xml:space="preserve">and </w:t>
      </w:r>
      <w:r w:rsidRPr="00216D4C">
        <w:rPr>
          <w:rFonts w:cstheme="minorHAnsi"/>
          <w:sz w:val="24"/>
          <w:szCs w:val="24"/>
        </w:rPr>
        <w:t xml:space="preserve">the ESBL-producing isolates were screened </w:t>
      </w:r>
      <w:r w:rsidR="00216D4C" w:rsidRPr="00216D4C">
        <w:rPr>
          <w:rFonts w:cstheme="minorHAnsi"/>
          <w:sz w:val="24"/>
          <w:szCs w:val="24"/>
        </w:rPr>
        <w:t>by</w:t>
      </w:r>
      <w:r w:rsidRPr="00216D4C">
        <w:rPr>
          <w:rFonts w:cstheme="minorHAnsi"/>
          <w:sz w:val="24"/>
          <w:szCs w:val="24"/>
        </w:rPr>
        <w:t xml:space="preserve"> the double-disc diffusion test. β-lactamases genes, associated resistance genes</w:t>
      </w:r>
      <w:r w:rsidR="00216D4C" w:rsidRPr="00216D4C">
        <w:rPr>
          <w:rFonts w:cstheme="minorHAnsi"/>
          <w:sz w:val="24"/>
          <w:szCs w:val="24"/>
        </w:rPr>
        <w:t>,</w:t>
      </w:r>
      <w:r w:rsidRPr="00216D4C">
        <w:rPr>
          <w:rFonts w:cstheme="minorHAnsi"/>
          <w:sz w:val="24"/>
          <w:szCs w:val="24"/>
        </w:rPr>
        <w:t xml:space="preserve"> and integrons were studied by PCR.</w:t>
      </w:r>
    </w:p>
    <w:p w:rsidR="00755B91" w:rsidRPr="00EA1E95" w:rsidRDefault="009752C4" w:rsidP="00EA1E95">
      <w:pPr>
        <w:spacing w:line="480" w:lineRule="auto"/>
        <w:jc w:val="both"/>
      </w:pPr>
      <w:r w:rsidRPr="00216D4C">
        <w:rPr>
          <w:rFonts w:cstheme="minorHAnsi"/>
          <w:b/>
          <w:bCs/>
          <w:sz w:val="24"/>
          <w:szCs w:val="24"/>
        </w:rPr>
        <w:t xml:space="preserve">Results: </w:t>
      </w:r>
      <w:r w:rsidR="00BD08CC" w:rsidRPr="00216D4C">
        <w:rPr>
          <w:rFonts w:cstheme="minorHAnsi"/>
          <w:sz w:val="24"/>
          <w:szCs w:val="24"/>
        </w:rPr>
        <w:t xml:space="preserve">Most of </w:t>
      </w:r>
      <w:r w:rsidR="00216D4C" w:rsidRPr="00216D4C">
        <w:rPr>
          <w:rFonts w:cstheme="minorHAnsi"/>
          <w:sz w:val="24"/>
          <w:szCs w:val="24"/>
        </w:rPr>
        <w:t xml:space="preserve">the bacterial </w:t>
      </w:r>
      <w:r w:rsidR="00BD08CC" w:rsidRPr="00216D4C">
        <w:rPr>
          <w:rFonts w:cstheme="minorHAnsi"/>
          <w:sz w:val="24"/>
          <w:szCs w:val="24"/>
        </w:rPr>
        <w:t>isolates 96.7% (59/61) were collected from the houses and the market.</w:t>
      </w:r>
      <w:r w:rsidR="00665C9D" w:rsidRPr="00216D4C">
        <w:rPr>
          <w:rFonts w:cstheme="minorHAnsi"/>
          <w:sz w:val="24"/>
          <w:szCs w:val="24"/>
        </w:rPr>
        <w:t xml:space="preserve"> The ESBL producing isolates were 14.8% (9/61), seven </w:t>
      </w:r>
      <w:r w:rsidR="00665C9D" w:rsidRPr="00216D4C">
        <w:rPr>
          <w:rFonts w:cstheme="minorHAnsi"/>
          <w:i/>
          <w:iCs/>
          <w:sz w:val="24"/>
          <w:szCs w:val="24"/>
        </w:rPr>
        <w:t>K. pneumoniae</w:t>
      </w:r>
      <w:r w:rsidR="00665C9D" w:rsidRPr="00216D4C">
        <w:rPr>
          <w:rFonts w:cstheme="minorHAnsi"/>
          <w:sz w:val="24"/>
          <w:szCs w:val="24"/>
        </w:rPr>
        <w:t xml:space="preserve"> isolates, and two </w:t>
      </w:r>
      <w:r w:rsidR="00665C9D" w:rsidRPr="00216D4C">
        <w:rPr>
          <w:rFonts w:cstheme="minorHAnsi"/>
          <w:i/>
          <w:iCs/>
          <w:sz w:val="24"/>
          <w:szCs w:val="24"/>
        </w:rPr>
        <w:t>E. coli</w:t>
      </w:r>
      <w:r w:rsidR="00665C9D" w:rsidRPr="00216D4C">
        <w:rPr>
          <w:rFonts w:cstheme="minorHAnsi"/>
          <w:sz w:val="24"/>
          <w:szCs w:val="24"/>
        </w:rPr>
        <w:t xml:space="preserve"> iso</w:t>
      </w:r>
      <w:r w:rsidR="00216D4C" w:rsidRPr="00216D4C">
        <w:rPr>
          <w:rFonts w:cstheme="minorHAnsi"/>
          <w:sz w:val="24"/>
          <w:szCs w:val="24"/>
        </w:rPr>
        <w:t xml:space="preserve">lates. The highest rate of ESBL-producing </w:t>
      </w:r>
      <w:r w:rsidR="00665C9D" w:rsidRPr="00216D4C">
        <w:rPr>
          <w:rFonts w:cstheme="minorHAnsi"/>
          <w:sz w:val="24"/>
          <w:szCs w:val="24"/>
        </w:rPr>
        <w:t xml:space="preserve">strains was observed in houses (7/22; 31.8%), followed by the market (2/43; 4.7%). Resistance to </w:t>
      </w:r>
      <w:r w:rsidR="00216D4C" w:rsidRPr="00216D4C">
        <w:rPr>
          <w:rFonts w:cstheme="minorHAnsi"/>
          <w:sz w:val="24"/>
          <w:szCs w:val="24"/>
        </w:rPr>
        <w:t xml:space="preserve">the </w:t>
      </w:r>
      <w:r w:rsidR="00665C9D" w:rsidRPr="00216D4C">
        <w:rPr>
          <w:rFonts w:cstheme="minorHAnsi"/>
          <w:sz w:val="24"/>
          <w:szCs w:val="24"/>
        </w:rPr>
        <w:t xml:space="preserve">most used antibiotics was higher in ESBL-producers than non-ESBL-producers. </w:t>
      </w:r>
      <w:r w:rsidR="00D01074" w:rsidRPr="00216D4C">
        <w:rPr>
          <w:rFonts w:cstheme="minorHAnsi"/>
          <w:sz w:val="24"/>
          <w:szCs w:val="24"/>
        </w:rPr>
        <w:t xml:space="preserve">The multi-drug </w:t>
      </w:r>
      <w:r w:rsidR="00216D4C" w:rsidRPr="00216D4C">
        <w:rPr>
          <w:rFonts w:cstheme="minorHAnsi"/>
          <w:sz w:val="24"/>
          <w:szCs w:val="24"/>
        </w:rPr>
        <w:t>resistan</w:t>
      </w:r>
      <w:r w:rsidR="00B85487">
        <w:rPr>
          <w:rFonts w:cstheme="minorHAnsi"/>
          <w:sz w:val="24"/>
          <w:szCs w:val="24"/>
        </w:rPr>
        <w:t>t</w:t>
      </w:r>
      <w:r w:rsidR="00216D4C" w:rsidRPr="00216D4C">
        <w:rPr>
          <w:rFonts w:cstheme="minorHAnsi"/>
          <w:sz w:val="24"/>
          <w:szCs w:val="24"/>
        </w:rPr>
        <w:t xml:space="preserve"> </w:t>
      </w:r>
      <w:r w:rsidR="00B85487" w:rsidRPr="00A0540C">
        <w:rPr>
          <w:rFonts w:cstheme="minorHAnsi"/>
          <w:sz w:val="24"/>
          <w:szCs w:val="24"/>
          <w:lang w:val="en-GB"/>
        </w:rPr>
        <w:t>bacteria</w:t>
      </w:r>
      <w:r w:rsidR="00216D4C" w:rsidRPr="00216D4C">
        <w:rPr>
          <w:rFonts w:cstheme="minorHAnsi"/>
          <w:sz w:val="24"/>
          <w:szCs w:val="24"/>
        </w:rPr>
        <w:t xml:space="preserve"> </w:t>
      </w:r>
      <w:proofErr w:type="gramStart"/>
      <w:r w:rsidR="00D01074" w:rsidRPr="00216D4C">
        <w:rPr>
          <w:rFonts w:cstheme="minorHAnsi"/>
          <w:sz w:val="24"/>
          <w:szCs w:val="24"/>
        </w:rPr>
        <w:t>was</w:t>
      </w:r>
      <w:proofErr w:type="gramEnd"/>
      <w:r w:rsidR="00D01074" w:rsidRPr="00216D4C">
        <w:rPr>
          <w:rFonts w:cstheme="minorHAnsi"/>
          <w:sz w:val="24"/>
          <w:szCs w:val="24"/>
        </w:rPr>
        <w:t xml:space="preserve"> detected in 19/61 (31.2%). </w:t>
      </w:r>
      <w:r w:rsidR="00665C9D" w:rsidRPr="00216D4C">
        <w:rPr>
          <w:rFonts w:cstheme="minorHAnsi"/>
          <w:sz w:val="24"/>
          <w:szCs w:val="24"/>
        </w:rPr>
        <w:t xml:space="preserve">The following resistance genes were identified among </w:t>
      </w:r>
      <w:r w:rsidR="006F108D" w:rsidRPr="00216D4C">
        <w:rPr>
          <w:rFonts w:cstheme="minorHAnsi"/>
          <w:sz w:val="24"/>
          <w:szCs w:val="24"/>
        </w:rPr>
        <w:t xml:space="preserve">the </w:t>
      </w:r>
      <w:r w:rsidR="009E4A87" w:rsidRPr="00A0540C">
        <w:rPr>
          <w:rFonts w:cstheme="minorHAnsi"/>
          <w:sz w:val="24"/>
          <w:szCs w:val="24"/>
          <w:lang w:val="en-GB"/>
        </w:rPr>
        <w:t>3</w:t>
      </w:r>
      <w:r w:rsidR="009E4A87" w:rsidRPr="00A0540C">
        <w:rPr>
          <w:rFonts w:cstheme="minorHAnsi"/>
          <w:sz w:val="24"/>
          <w:szCs w:val="24"/>
          <w:vertAlign w:val="superscript"/>
          <w:lang w:val="en-GB"/>
        </w:rPr>
        <w:t>rd</w:t>
      </w:r>
      <w:r w:rsidR="009E4A87" w:rsidRPr="00A0540C">
        <w:rPr>
          <w:rFonts w:cstheme="minorHAnsi"/>
          <w:sz w:val="24"/>
          <w:szCs w:val="24"/>
          <w:lang w:val="en-GB"/>
        </w:rPr>
        <w:t xml:space="preserve"> generation </w:t>
      </w:r>
      <w:proofErr w:type="spellStart"/>
      <w:r w:rsidR="009E4A87" w:rsidRPr="00A0540C">
        <w:rPr>
          <w:rFonts w:cstheme="minorHAnsi"/>
          <w:sz w:val="24"/>
          <w:szCs w:val="24"/>
          <w:lang w:val="en-GB"/>
        </w:rPr>
        <w:t>cephalosporins</w:t>
      </w:r>
      <w:proofErr w:type="spellEnd"/>
      <w:r w:rsidR="00665C9D" w:rsidRPr="00216D4C">
        <w:rPr>
          <w:rFonts w:cstheme="minorHAnsi"/>
          <w:sz w:val="24"/>
          <w:szCs w:val="24"/>
        </w:rPr>
        <w:t xml:space="preserve">-resistant </w:t>
      </w:r>
      <w:r w:rsidR="00216D4C" w:rsidRPr="00216D4C">
        <w:rPr>
          <w:rFonts w:cstheme="minorHAnsi"/>
          <w:sz w:val="24"/>
          <w:szCs w:val="24"/>
        </w:rPr>
        <w:t>(</w:t>
      </w:r>
      <w:proofErr w:type="spellStart"/>
      <w:r w:rsidR="00216D4C" w:rsidRPr="00216D4C">
        <w:rPr>
          <w:rFonts w:cstheme="minorHAnsi"/>
          <w:sz w:val="24"/>
          <w:szCs w:val="24"/>
        </w:rPr>
        <w:t>cefotaxime</w:t>
      </w:r>
      <w:proofErr w:type="spellEnd"/>
      <w:r w:rsidR="00216D4C" w:rsidRPr="00216D4C">
        <w:rPr>
          <w:rFonts w:cstheme="minorHAnsi"/>
          <w:sz w:val="24"/>
          <w:szCs w:val="24"/>
        </w:rPr>
        <w:t xml:space="preserve"> and/or </w:t>
      </w:r>
      <w:proofErr w:type="spellStart"/>
      <w:r w:rsidR="00216D4C" w:rsidRPr="00216D4C">
        <w:rPr>
          <w:rFonts w:cstheme="minorHAnsi"/>
          <w:sz w:val="24"/>
          <w:szCs w:val="24"/>
        </w:rPr>
        <w:t>ceftazidime</w:t>
      </w:r>
      <w:proofErr w:type="spellEnd"/>
      <w:r w:rsidR="00216D4C" w:rsidRPr="00216D4C">
        <w:rPr>
          <w:rFonts w:cstheme="minorHAnsi"/>
          <w:sz w:val="24"/>
          <w:szCs w:val="24"/>
        </w:rPr>
        <w:t xml:space="preserve">) </w:t>
      </w:r>
      <w:r w:rsidR="00665C9D" w:rsidRPr="00216D4C">
        <w:rPr>
          <w:rFonts w:cstheme="minorHAnsi"/>
          <w:sz w:val="24"/>
          <w:szCs w:val="24"/>
        </w:rPr>
        <w:t xml:space="preserve">isolates; </w:t>
      </w:r>
      <w:r w:rsidR="00665C9D" w:rsidRPr="00216D4C">
        <w:rPr>
          <w:rFonts w:cstheme="minorHAnsi"/>
          <w:i/>
          <w:iCs/>
          <w:sz w:val="24"/>
          <w:szCs w:val="24"/>
        </w:rPr>
        <w:t>bla</w:t>
      </w:r>
      <w:r w:rsidR="00665C9D" w:rsidRPr="00216D4C">
        <w:rPr>
          <w:rFonts w:cstheme="minorHAnsi"/>
          <w:sz w:val="24"/>
          <w:szCs w:val="24"/>
          <w:vertAlign w:val="subscript"/>
        </w:rPr>
        <w:t>CTX-M-G</w:t>
      </w:r>
      <w:r w:rsidR="002909A8" w:rsidRPr="00216D4C">
        <w:rPr>
          <w:rFonts w:cstheme="minorHAnsi"/>
          <w:sz w:val="24"/>
          <w:szCs w:val="24"/>
          <w:vertAlign w:val="subscript"/>
        </w:rPr>
        <w:t>-</w:t>
      </w:r>
      <w:r w:rsidR="00665C9D" w:rsidRPr="00216D4C">
        <w:rPr>
          <w:rFonts w:cstheme="minorHAnsi"/>
          <w:sz w:val="24"/>
          <w:szCs w:val="24"/>
          <w:vertAlign w:val="subscript"/>
        </w:rPr>
        <w:t xml:space="preserve">1 </w:t>
      </w:r>
      <w:r w:rsidR="00665C9D" w:rsidRPr="00216D4C">
        <w:rPr>
          <w:rFonts w:cstheme="minorHAnsi"/>
          <w:sz w:val="24"/>
          <w:szCs w:val="24"/>
        </w:rPr>
        <w:t xml:space="preserve">(76.7%, 23/30), </w:t>
      </w:r>
      <w:r w:rsidR="00665C9D" w:rsidRPr="00216D4C">
        <w:rPr>
          <w:rFonts w:cstheme="minorHAnsi"/>
          <w:i/>
          <w:iCs/>
          <w:sz w:val="24"/>
          <w:szCs w:val="24"/>
        </w:rPr>
        <w:t>bla</w:t>
      </w:r>
      <w:r w:rsidR="00665C9D" w:rsidRPr="00216D4C">
        <w:rPr>
          <w:rFonts w:cstheme="minorHAnsi"/>
          <w:sz w:val="24"/>
          <w:szCs w:val="24"/>
          <w:vertAlign w:val="subscript"/>
        </w:rPr>
        <w:t>SHV-1</w:t>
      </w:r>
      <w:r w:rsidR="00665C9D" w:rsidRPr="00216D4C">
        <w:rPr>
          <w:rFonts w:cstheme="minorHAnsi"/>
          <w:sz w:val="24"/>
          <w:szCs w:val="24"/>
        </w:rPr>
        <w:t xml:space="preserve"> (43.3%, 13/30), </w:t>
      </w:r>
      <w:r w:rsidR="00665C9D" w:rsidRPr="00216D4C">
        <w:rPr>
          <w:rFonts w:cstheme="minorHAnsi"/>
          <w:i/>
          <w:iCs/>
          <w:sz w:val="24"/>
          <w:szCs w:val="24"/>
        </w:rPr>
        <w:t>bla</w:t>
      </w:r>
      <w:r w:rsidR="00665C9D" w:rsidRPr="00216D4C">
        <w:rPr>
          <w:rFonts w:cstheme="minorHAnsi"/>
          <w:sz w:val="24"/>
          <w:szCs w:val="24"/>
          <w:vertAlign w:val="subscript"/>
        </w:rPr>
        <w:t xml:space="preserve">TEM-1 </w:t>
      </w:r>
      <w:r w:rsidR="00665C9D" w:rsidRPr="00216D4C">
        <w:rPr>
          <w:rFonts w:cstheme="minorHAnsi"/>
          <w:sz w:val="24"/>
          <w:szCs w:val="24"/>
        </w:rPr>
        <w:t xml:space="preserve">(36.7%, 11/30), </w:t>
      </w:r>
      <w:proofErr w:type="spellStart"/>
      <w:r w:rsidR="00665C9D" w:rsidRPr="00216D4C">
        <w:rPr>
          <w:rFonts w:cstheme="minorHAnsi"/>
          <w:i/>
          <w:iCs/>
          <w:sz w:val="24"/>
          <w:szCs w:val="24"/>
        </w:rPr>
        <w:t>bla</w:t>
      </w:r>
      <w:r w:rsidR="00665C9D" w:rsidRPr="00216D4C">
        <w:rPr>
          <w:rFonts w:cstheme="minorHAnsi"/>
          <w:sz w:val="24"/>
          <w:szCs w:val="24"/>
          <w:vertAlign w:val="subscript"/>
        </w:rPr>
        <w:t>IMP</w:t>
      </w:r>
      <w:proofErr w:type="spellEnd"/>
      <w:r w:rsidR="00665C9D" w:rsidRPr="00216D4C">
        <w:rPr>
          <w:rFonts w:cstheme="minorHAnsi"/>
          <w:sz w:val="24"/>
          <w:szCs w:val="24"/>
          <w:vertAlign w:val="subscript"/>
        </w:rPr>
        <w:t xml:space="preserve"> </w:t>
      </w:r>
      <w:r w:rsidR="00665C9D" w:rsidRPr="00216D4C">
        <w:rPr>
          <w:rFonts w:cstheme="minorHAnsi"/>
          <w:sz w:val="24"/>
          <w:szCs w:val="24"/>
        </w:rPr>
        <w:t xml:space="preserve">(16.7%, 5/30), </w:t>
      </w:r>
      <w:r w:rsidR="00665C9D" w:rsidRPr="00216D4C">
        <w:rPr>
          <w:rFonts w:cstheme="minorHAnsi"/>
          <w:i/>
          <w:iCs/>
          <w:sz w:val="24"/>
          <w:szCs w:val="24"/>
        </w:rPr>
        <w:t>bla</w:t>
      </w:r>
      <w:r w:rsidR="00665C9D" w:rsidRPr="00216D4C">
        <w:rPr>
          <w:rFonts w:cstheme="minorHAnsi"/>
          <w:sz w:val="24"/>
          <w:szCs w:val="24"/>
          <w:vertAlign w:val="subscript"/>
        </w:rPr>
        <w:t xml:space="preserve">OXA-48 </w:t>
      </w:r>
      <w:r w:rsidR="00665C9D" w:rsidRPr="00216D4C">
        <w:rPr>
          <w:rFonts w:cstheme="minorHAnsi"/>
          <w:sz w:val="24"/>
          <w:szCs w:val="24"/>
        </w:rPr>
        <w:t xml:space="preserve">(10%, 3/30) and </w:t>
      </w:r>
      <w:proofErr w:type="spellStart"/>
      <w:r w:rsidR="00665C9D" w:rsidRPr="00216D4C">
        <w:rPr>
          <w:rFonts w:cstheme="minorHAnsi"/>
          <w:i/>
          <w:iCs/>
          <w:sz w:val="24"/>
          <w:szCs w:val="24"/>
        </w:rPr>
        <w:t>bla</w:t>
      </w:r>
      <w:r w:rsidR="00665C9D" w:rsidRPr="00216D4C">
        <w:rPr>
          <w:rFonts w:cstheme="minorHAnsi"/>
          <w:sz w:val="24"/>
          <w:szCs w:val="24"/>
          <w:vertAlign w:val="subscript"/>
        </w:rPr>
        <w:t>NDM</w:t>
      </w:r>
      <w:proofErr w:type="spellEnd"/>
      <w:r w:rsidR="00665C9D" w:rsidRPr="00216D4C">
        <w:rPr>
          <w:rFonts w:cstheme="minorHAnsi"/>
          <w:sz w:val="24"/>
          <w:szCs w:val="24"/>
          <w:vertAlign w:val="subscript"/>
        </w:rPr>
        <w:t xml:space="preserve"> </w:t>
      </w:r>
      <w:r w:rsidR="00665C9D" w:rsidRPr="00216D4C">
        <w:rPr>
          <w:rFonts w:cstheme="minorHAnsi"/>
          <w:sz w:val="24"/>
          <w:szCs w:val="24"/>
        </w:rPr>
        <w:t>(3.3%, 1/30).</w:t>
      </w:r>
      <w:r w:rsidR="00541A67">
        <w:rPr>
          <w:rFonts w:cstheme="minorHAnsi"/>
          <w:sz w:val="24"/>
          <w:szCs w:val="24"/>
        </w:rPr>
        <w:t xml:space="preserve"> </w:t>
      </w:r>
      <w:r w:rsidR="00EA1E95">
        <w:t xml:space="preserve">Quinolones resistance genes; </w:t>
      </w:r>
      <w:proofErr w:type="spellStart"/>
      <w:r w:rsidR="00EA1E95" w:rsidRPr="00755B91">
        <w:rPr>
          <w:i/>
          <w:iCs/>
        </w:rPr>
        <w:t>qnrs</w:t>
      </w:r>
      <w:proofErr w:type="spellEnd"/>
      <w:r w:rsidR="00EA1E95" w:rsidRPr="00755B91">
        <w:t>,</w:t>
      </w:r>
      <w:r w:rsidR="00EA1E95" w:rsidRPr="00EA1E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="00EA1E95" w:rsidRPr="001E28E4">
        <w:rPr>
          <w:rFonts w:asciiTheme="majorBidi" w:hAnsiTheme="majorBidi" w:cstheme="majorBidi"/>
          <w:i/>
          <w:iCs/>
          <w:sz w:val="24"/>
          <w:szCs w:val="24"/>
        </w:rPr>
        <w:t>aac</w:t>
      </w:r>
      <w:proofErr w:type="spellEnd"/>
      <w:r w:rsidR="00EA1E95" w:rsidRPr="001E28E4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gramEnd"/>
      <w:r w:rsidR="00EA1E95" w:rsidRPr="001E28E4">
        <w:rPr>
          <w:rFonts w:asciiTheme="majorBidi" w:hAnsiTheme="majorBidi" w:cstheme="majorBidi"/>
          <w:i/>
          <w:iCs/>
          <w:sz w:val="24"/>
          <w:szCs w:val="24"/>
        </w:rPr>
        <w:t>6′)-</w:t>
      </w:r>
      <w:proofErr w:type="spellStart"/>
      <w:r w:rsidR="00EA1E95" w:rsidRPr="001E28E4">
        <w:rPr>
          <w:rFonts w:asciiTheme="majorBidi" w:hAnsiTheme="majorBidi" w:cstheme="majorBidi"/>
          <w:i/>
          <w:iCs/>
          <w:sz w:val="24"/>
          <w:szCs w:val="24"/>
        </w:rPr>
        <w:t>Ib-cr</w:t>
      </w:r>
      <w:proofErr w:type="spellEnd"/>
      <w:r w:rsidR="00EA1E9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EA1E95" w:rsidRPr="00755B91">
        <w:t xml:space="preserve"> </w:t>
      </w:r>
      <w:proofErr w:type="spellStart"/>
      <w:r w:rsidR="00EA1E95" w:rsidRPr="00755B91">
        <w:rPr>
          <w:i/>
          <w:iCs/>
        </w:rPr>
        <w:t>qnrB</w:t>
      </w:r>
      <w:proofErr w:type="spellEnd"/>
      <w:r w:rsidR="00EA1E95" w:rsidRPr="00755B91">
        <w:t xml:space="preserve"> and </w:t>
      </w:r>
      <w:proofErr w:type="spellStart"/>
      <w:r w:rsidR="00EA1E95" w:rsidRPr="00755B91">
        <w:rPr>
          <w:i/>
          <w:iCs/>
        </w:rPr>
        <w:t>qnrA</w:t>
      </w:r>
      <w:proofErr w:type="spellEnd"/>
      <w:r w:rsidR="00EA1E95" w:rsidRPr="00755B91">
        <w:t xml:space="preserve"> were found in </w:t>
      </w:r>
      <w:r w:rsidR="00EA1E95">
        <w:t xml:space="preserve">11, </w:t>
      </w:r>
      <w:r w:rsidR="00EA1E95" w:rsidRPr="00755B91">
        <w:t>11, 7 and 5 isolates</w:t>
      </w:r>
      <w:r w:rsidR="00EA1E95">
        <w:t xml:space="preserve">, </w:t>
      </w:r>
      <w:r w:rsidR="00EA1E95">
        <w:rPr>
          <w:rStyle w:val="Lienhypertexte"/>
          <w:rFonts w:asciiTheme="majorBidi" w:hAnsiTheme="majorBidi" w:cstheme="majorBidi"/>
          <w:color w:val="auto"/>
          <w:sz w:val="24"/>
          <w:szCs w:val="24"/>
          <w:u w:val="none"/>
          <w:lang w:val="en-001"/>
        </w:rPr>
        <w:t xml:space="preserve">respectively. </w:t>
      </w:r>
      <w:r w:rsidR="00EA1E95">
        <w:rPr>
          <w:rFonts w:asciiTheme="majorBidi" w:hAnsiTheme="majorBidi" w:cstheme="majorBidi"/>
          <w:sz w:val="24"/>
          <w:szCs w:val="24"/>
        </w:rPr>
        <w:t>Tetracycline genes (</w:t>
      </w:r>
      <w:proofErr w:type="spellStart"/>
      <w:r w:rsidR="00EA1E95" w:rsidRPr="00EA1E95">
        <w:rPr>
          <w:rFonts w:asciiTheme="majorBidi" w:hAnsiTheme="majorBidi" w:cstheme="majorBidi"/>
          <w:i/>
          <w:iCs/>
          <w:sz w:val="24"/>
          <w:szCs w:val="24"/>
        </w:rPr>
        <w:t>tet</w:t>
      </w:r>
      <w:proofErr w:type="spellEnd"/>
      <w:r w:rsidR="00EA1E95">
        <w:rPr>
          <w:rFonts w:asciiTheme="majorBidi" w:hAnsiTheme="majorBidi" w:cstheme="majorBidi"/>
          <w:sz w:val="24"/>
          <w:szCs w:val="24"/>
        </w:rPr>
        <w:t>) and sulfonamide resistance genes (</w:t>
      </w:r>
      <w:proofErr w:type="spellStart"/>
      <w:r w:rsidR="00EA1E95" w:rsidRPr="00EA1E95">
        <w:rPr>
          <w:rFonts w:asciiTheme="majorBidi" w:hAnsiTheme="majorBidi" w:cstheme="majorBidi"/>
          <w:i/>
          <w:iCs/>
          <w:sz w:val="24"/>
          <w:szCs w:val="24"/>
        </w:rPr>
        <w:t>sul</w:t>
      </w:r>
      <w:proofErr w:type="spellEnd"/>
      <w:r w:rsidR="00EA1E95">
        <w:rPr>
          <w:rFonts w:asciiTheme="majorBidi" w:hAnsiTheme="majorBidi" w:cstheme="majorBidi"/>
          <w:sz w:val="24"/>
          <w:szCs w:val="24"/>
        </w:rPr>
        <w:t>)</w:t>
      </w:r>
      <w:r w:rsidR="00EA1E95">
        <w:rPr>
          <w:rFonts w:asciiTheme="majorBidi" w:hAnsiTheme="majorBidi" w:cstheme="majorBidi"/>
          <w:sz w:val="24"/>
          <w:szCs w:val="24"/>
        </w:rPr>
        <w:t xml:space="preserve"> were identified in seventeen and e</w:t>
      </w:r>
      <w:r w:rsidR="00EA1E95">
        <w:rPr>
          <w:rFonts w:asciiTheme="majorBidi" w:hAnsiTheme="majorBidi" w:cstheme="majorBidi"/>
          <w:sz w:val="24"/>
          <w:szCs w:val="24"/>
          <w:lang w:val="en-001"/>
        </w:rPr>
        <w:t>leven</w:t>
      </w:r>
      <w:r w:rsidR="00EA1E95">
        <w:rPr>
          <w:rFonts w:asciiTheme="majorBidi" w:hAnsiTheme="majorBidi" w:cstheme="majorBidi"/>
          <w:sz w:val="24"/>
          <w:szCs w:val="24"/>
        </w:rPr>
        <w:t xml:space="preserve">, </w:t>
      </w:r>
      <w:r w:rsidR="00EA1E95">
        <w:rPr>
          <w:rFonts w:asciiTheme="majorBidi" w:hAnsiTheme="majorBidi" w:cstheme="majorBidi"/>
          <w:sz w:val="24"/>
          <w:szCs w:val="24"/>
        </w:rPr>
        <w:lastRenderedPageBreak/>
        <w:t>respectively</w:t>
      </w:r>
      <w:r w:rsidR="00EA1E95">
        <w:rPr>
          <w:rFonts w:asciiTheme="majorBidi" w:hAnsiTheme="majorBidi" w:cstheme="majorBidi"/>
          <w:sz w:val="24"/>
          <w:szCs w:val="24"/>
          <w:lang w:val="en-001"/>
        </w:rPr>
        <w:t>.</w:t>
      </w:r>
      <w:r w:rsidR="00EA1E95">
        <w:t xml:space="preserve"> </w:t>
      </w:r>
      <w:r w:rsidR="00755B91" w:rsidRPr="00216D4C">
        <w:rPr>
          <w:rFonts w:cstheme="minorHAnsi"/>
          <w:sz w:val="24"/>
          <w:szCs w:val="24"/>
        </w:rPr>
        <w:t xml:space="preserve">The </w:t>
      </w:r>
      <w:proofErr w:type="spellStart"/>
      <w:r w:rsidR="00755B91" w:rsidRPr="00216D4C">
        <w:rPr>
          <w:rFonts w:cstheme="minorHAnsi"/>
          <w:sz w:val="24"/>
          <w:szCs w:val="24"/>
        </w:rPr>
        <w:t>integron</w:t>
      </w:r>
      <w:proofErr w:type="spellEnd"/>
      <w:r w:rsidR="00755B91" w:rsidRPr="00216D4C">
        <w:rPr>
          <w:rFonts w:cstheme="minorHAnsi"/>
          <w:sz w:val="24"/>
          <w:szCs w:val="24"/>
        </w:rPr>
        <w:t xml:space="preserve"> </w:t>
      </w:r>
      <w:r w:rsidR="00755B91" w:rsidRPr="00216D4C">
        <w:rPr>
          <w:rFonts w:cstheme="minorHAnsi"/>
          <w:sz w:val="24"/>
          <w:szCs w:val="24"/>
          <w:lang/>
        </w:rPr>
        <w:t>1</w:t>
      </w:r>
      <w:r w:rsidR="00755B91" w:rsidRPr="00216D4C">
        <w:rPr>
          <w:rFonts w:cstheme="minorHAnsi"/>
          <w:sz w:val="24"/>
          <w:szCs w:val="24"/>
        </w:rPr>
        <w:t xml:space="preserve"> (</w:t>
      </w:r>
      <w:r w:rsidR="00755B91" w:rsidRPr="00216D4C">
        <w:rPr>
          <w:rFonts w:cstheme="minorHAnsi"/>
          <w:i/>
          <w:iCs/>
          <w:sz w:val="24"/>
          <w:szCs w:val="24"/>
        </w:rPr>
        <w:t>intI1</w:t>
      </w:r>
      <w:r w:rsidR="00755B91" w:rsidRPr="00216D4C">
        <w:rPr>
          <w:rFonts w:cstheme="minorHAnsi"/>
          <w:sz w:val="24"/>
          <w:szCs w:val="24"/>
        </w:rPr>
        <w:t>)</w:t>
      </w:r>
      <w:r w:rsidR="00755B91" w:rsidRPr="00216D4C">
        <w:rPr>
          <w:rFonts w:cstheme="minorHAnsi"/>
          <w:sz w:val="24"/>
          <w:szCs w:val="24"/>
          <w:lang/>
        </w:rPr>
        <w:t xml:space="preserve"> was</w:t>
      </w:r>
      <w:r w:rsidR="00755B91" w:rsidRPr="00216D4C">
        <w:rPr>
          <w:rFonts w:cstheme="minorHAnsi"/>
          <w:sz w:val="24"/>
          <w:szCs w:val="24"/>
        </w:rPr>
        <w:t xml:space="preserve"> detected in fifteen (50%) isolates, </w:t>
      </w:r>
      <w:r w:rsidR="00755B91" w:rsidRPr="00216D4C">
        <w:rPr>
          <w:rFonts w:cstheme="minorHAnsi"/>
          <w:i/>
          <w:iCs/>
          <w:sz w:val="24"/>
          <w:szCs w:val="24"/>
        </w:rPr>
        <w:t>qacED1-sul1</w:t>
      </w:r>
      <w:r w:rsidR="00755B91" w:rsidRPr="00216D4C">
        <w:rPr>
          <w:rFonts w:cstheme="minorHAnsi"/>
          <w:sz w:val="24"/>
          <w:szCs w:val="24"/>
        </w:rPr>
        <w:t xml:space="preserve"> genes were identified in ten intI1-positive isolates. The class 2 </w:t>
      </w:r>
      <w:proofErr w:type="spellStart"/>
      <w:r w:rsidR="00755B91" w:rsidRPr="00216D4C">
        <w:rPr>
          <w:rFonts w:cstheme="minorHAnsi"/>
          <w:sz w:val="24"/>
          <w:szCs w:val="24"/>
        </w:rPr>
        <w:t>integron</w:t>
      </w:r>
      <w:proofErr w:type="spellEnd"/>
      <w:r w:rsidR="00755B91" w:rsidRPr="00216D4C">
        <w:rPr>
          <w:rFonts w:cstheme="minorHAnsi"/>
          <w:sz w:val="24"/>
          <w:szCs w:val="24"/>
        </w:rPr>
        <w:t xml:space="preserve"> was detected in three isolates.</w:t>
      </w:r>
    </w:p>
    <w:p w:rsidR="00C01A29" w:rsidRPr="00216D4C" w:rsidRDefault="00C01A29">
      <w:pPr>
        <w:spacing w:line="360" w:lineRule="auto"/>
        <w:jc w:val="both"/>
        <w:rPr>
          <w:rFonts w:cstheme="minorHAnsi"/>
          <w:sz w:val="24"/>
          <w:szCs w:val="24"/>
        </w:rPr>
      </w:pPr>
      <w:r w:rsidRPr="00216D4C">
        <w:rPr>
          <w:rFonts w:cstheme="minorHAnsi"/>
          <w:b/>
          <w:bCs/>
          <w:sz w:val="24"/>
          <w:szCs w:val="24"/>
        </w:rPr>
        <w:t>Conclusion:</w:t>
      </w:r>
      <w:r w:rsidRPr="00216D4C">
        <w:rPr>
          <w:rFonts w:cstheme="minorHAnsi"/>
          <w:sz w:val="24"/>
          <w:szCs w:val="24"/>
        </w:rPr>
        <w:t xml:space="preserve"> Houseflies collected from houses and markets may be implicated in the spread of </w:t>
      </w:r>
      <w:r w:rsidR="009E4A87">
        <w:rPr>
          <w:rFonts w:cstheme="minorHAnsi"/>
          <w:sz w:val="24"/>
          <w:szCs w:val="24"/>
        </w:rPr>
        <w:t>multi-drug resistant</w:t>
      </w:r>
      <w:r w:rsidR="009E4A87" w:rsidRPr="00216D4C">
        <w:rPr>
          <w:rFonts w:cstheme="minorHAnsi"/>
          <w:sz w:val="24"/>
          <w:szCs w:val="24"/>
        </w:rPr>
        <w:t xml:space="preserve"> </w:t>
      </w:r>
      <w:r w:rsidR="00D01074" w:rsidRPr="00216D4C">
        <w:rPr>
          <w:rFonts w:cstheme="minorHAnsi"/>
          <w:sz w:val="24"/>
          <w:szCs w:val="24"/>
        </w:rPr>
        <w:t>bacteria</w:t>
      </w:r>
      <w:r w:rsidRPr="00216D4C">
        <w:rPr>
          <w:rFonts w:cstheme="minorHAnsi"/>
          <w:sz w:val="24"/>
          <w:szCs w:val="24"/>
        </w:rPr>
        <w:t xml:space="preserve"> </w:t>
      </w:r>
      <w:r w:rsidR="009E4A87">
        <w:rPr>
          <w:rFonts w:cstheme="minorHAnsi"/>
          <w:sz w:val="24"/>
          <w:szCs w:val="24"/>
        </w:rPr>
        <w:t>that</w:t>
      </w:r>
      <w:r w:rsidR="009E4A87" w:rsidRPr="00216D4C">
        <w:rPr>
          <w:rFonts w:cstheme="minorHAnsi"/>
          <w:sz w:val="24"/>
          <w:szCs w:val="24"/>
        </w:rPr>
        <w:t xml:space="preserve"> </w:t>
      </w:r>
      <w:r w:rsidRPr="00216D4C">
        <w:rPr>
          <w:rFonts w:cstheme="minorHAnsi"/>
          <w:sz w:val="24"/>
          <w:szCs w:val="24"/>
        </w:rPr>
        <w:t xml:space="preserve">constitute a considerable </w:t>
      </w:r>
      <w:r w:rsidR="009E4A87">
        <w:rPr>
          <w:rFonts w:cstheme="minorHAnsi"/>
          <w:sz w:val="24"/>
          <w:szCs w:val="24"/>
        </w:rPr>
        <w:t>threat for human public health</w:t>
      </w:r>
      <w:r w:rsidRPr="00216D4C">
        <w:rPr>
          <w:rFonts w:cstheme="minorHAnsi"/>
          <w:sz w:val="24"/>
          <w:szCs w:val="24"/>
        </w:rPr>
        <w:t xml:space="preserve">. ESBLs in the flies reflect the contamination status of the environment and </w:t>
      </w:r>
      <w:r w:rsidR="00B31D61" w:rsidRPr="00216D4C">
        <w:rPr>
          <w:rFonts w:cstheme="minorHAnsi"/>
          <w:sz w:val="24"/>
          <w:szCs w:val="24"/>
        </w:rPr>
        <w:t>can be used as indicators for contamination</w:t>
      </w:r>
      <w:r w:rsidRPr="00216D4C">
        <w:rPr>
          <w:rFonts w:cstheme="minorHAnsi"/>
          <w:sz w:val="24"/>
          <w:szCs w:val="24"/>
        </w:rPr>
        <w:t>.</w:t>
      </w:r>
      <w:bookmarkEnd w:id="0"/>
    </w:p>
    <w:sectPr w:rsidR="00C01A29" w:rsidRPr="00216D4C" w:rsidSect="00CA66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A2"/>
    <w:rsid w:val="00032D6D"/>
    <w:rsid w:val="000524E8"/>
    <w:rsid w:val="0006299A"/>
    <w:rsid w:val="00076B3F"/>
    <w:rsid w:val="000C5776"/>
    <w:rsid w:val="000E2061"/>
    <w:rsid w:val="00147006"/>
    <w:rsid w:val="00180780"/>
    <w:rsid w:val="001B6CAC"/>
    <w:rsid w:val="001D72F5"/>
    <w:rsid w:val="001E49A2"/>
    <w:rsid w:val="001F68A4"/>
    <w:rsid w:val="00216D4C"/>
    <w:rsid w:val="002568EB"/>
    <w:rsid w:val="002909A8"/>
    <w:rsid w:val="002F7812"/>
    <w:rsid w:val="00320885"/>
    <w:rsid w:val="0032218E"/>
    <w:rsid w:val="00326DF3"/>
    <w:rsid w:val="00341C21"/>
    <w:rsid w:val="00342F97"/>
    <w:rsid w:val="0035238C"/>
    <w:rsid w:val="00363A91"/>
    <w:rsid w:val="003759F1"/>
    <w:rsid w:val="0038288F"/>
    <w:rsid w:val="003B0247"/>
    <w:rsid w:val="003B765E"/>
    <w:rsid w:val="003C499D"/>
    <w:rsid w:val="003D19BB"/>
    <w:rsid w:val="003E5A98"/>
    <w:rsid w:val="003F198E"/>
    <w:rsid w:val="00407498"/>
    <w:rsid w:val="00433358"/>
    <w:rsid w:val="00435145"/>
    <w:rsid w:val="004456B3"/>
    <w:rsid w:val="004A6E0E"/>
    <w:rsid w:val="004C0FAA"/>
    <w:rsid w:val="004F21B5"/>
    <w:rsid w:val="004F4D7D"/>
    <w:rsid w:val="00541A67"/>
    <w:rsid w:val="00545A2B"/>
    <w:rsid w:val="00554CE3"/>
    <w:rsid w:val="0056222F"/>
    <w:rsid w:val="00564DF0"/>
    <w:rsid w:val="00586492"/>
    <w:rsid w:val="005A3E5A"/>
    <w:rsid w:val="005B19B3"/>
    <w:rsid w:val="005B3A18"/>
    <w:rsid w:val="006366FF"/>
    <w:rsid w:val="00665C35"/>
    <w:rsid w:val="00665C9D"/>
    <w:rsid w:val="006A140C"/>
    <w:rsid w:val="006B08F0"/>
    <w:rsid w:val="006D0930"/>
    <w:rsid w:val="006F108D"/>
    <w:rsid w:val="007127B9"/>
    <w:rsid w:val="00755B91"/>
    <w:rsid w:val="007615FE"/>
    <w:rsid w:val="00775D79"/>
    <w:rsid w:val="007949F7"/>
    <w:rsid w:val="007B278D"/>
    <w:rsid w:val="007F7590"/>
    <w:rsid w:val="00833181"/>
    <w:rsid w:val="008440E2"/>
    <w:rsid w:val="008576BD"/>
    <w:rsid w:val="00865102"/>
    <w:rsid w:val="00866748"/>
    <w:rsid w:val="008715C4"/>
    <w:rsid w:val="0087191A"/>
    <w:rsid w:val="00880721"/>
    <w:rsid w:val="00883DA4"/>
    <w:rsid w:val="00890FD2"/>
    <w:rsid w:val="008A6100"/>
    <w:rsid w:val="008A6430"/>
    <w:rsid w:val="008E17BA"/>
    <w:rsid w:val="008E2897"/>
    <w:rsid w:val="00916B25"/>
    <w:rsid w:val="00922D52"/>
    <w:rsid w:val="00944A04"/>
    <w:rsid w:val="00950B14"/>
    <w:rsid w:val="00963231"/>
    <w:rsid w:val="009654DB"/>
    <w:rsid w:val="009752C4"/>
    <w:rsid w:val="009B12BC"/>
    <w:rsid w:val="009B40B4"/>
    <w:rsid w:val="009D6C0C"/>
    <w:rsid w:val="009E1B12"/>
    <w:rsid w:val="009E4A87"/>
    <w:rsid w:val="00A00803"/>
    <w:rsid w:val="00A0540C"/>
    <w:rsid w:val="00A173E7"/>
    <w:rsid w:val="00A310EA"/>
    <w:rsid w:val="00A376D1"/>
    <w:rsid w:val="00A64862"/>
    <w:rsid w:val="00A77B75"/>
    <w:rsid w:val="00A8375D"/>
    <w:rsid w:val="00A97E30"/>
    <w:rsid w:val="00AA16DD"/>
    <w:rsid w:val="00AC1D06"/>
    <w:rsid w:val="00B025B4"/>
    <w:rsid w:val="00B16F22"/>
    <w:rsid w:val="00B20287"/>
    <w:rsid w:val="00B31D61"/>
    <w:rsid w:val="00B47A4F"/>
    <w:rsid w:val="00B52DF7"/>
    <w:rsid w:val="00B85487"/>
    <w:rsid w:val="00B862B7"/>
    <w:rsid w:val="00B958EE"/>
    <w:rsid w:val="00BA055A"/>
    <w:rsid w:val="00BC78D3"/>
    <w:rsid w:val="00BD08CC"/>
    <w:rsid w:val="00BD67EC"/>
    <w:rsid w:val="00C01A29"/>
    <w:rsid w:val="00C074AF"/>
    <w:rsid w:val="00C1365A"/>
    <w:rsid w:val="00C401EB"/>
    <w:rsid w:val="00C927CC"/>
    <w:rsid w:val="00CA6638"/>
    <w:rsid w:val="00D01074"/>
    <w:rsid w:val="00D1666C"/>
    <w:rsid w:val="00D3567E"/>
    <w:rsid w:val="00D41EF3"/>
    <w:rsid w:val="00D45B48"/>
    <w:rsid w:val="00D53E91"/>
    <w:rsid w:val="00DA6D6C"/>
    <w:rsid w:val="00DB2C26"/>
    <w:rsid w:val="00DC5131"/>
    <w:rsid w:val="00E675D3"/>
    <w:rsid w:val="00EA1E95"/>
    <w:rsid w:val="00EF39F5"/>
    <w:rsid w:val="00F03CE7"/>
    <w:rsid w:val="00F1782E"/>
    <w:rsid w:val="00F76C24"/>
    <w:rsid w:val="00F94BBA"/>
    <w:rsid w:val="00F975B1"/>
    <w:rsid w:val="00FD1ED3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0637"/>
  <w15:chartTrackingRefBased/>
  <w15:docId w15:val="{27CBA428-0BE7-4EFB-8874-B91ED6D8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6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8440E2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ar"/>
    <w:rsid w:val="00BC78D3"/>
    <w:pPr>
      <w:spacing w:line="240" w:lineRule="auto"/>
      <w:jc w:val="both"/>
    </w:pPr>
    <w:rPr>
      <w:rFonts w:ascii="Calibri" w:eastAsiaTheme="minorEastAsia" w:hAnsi="Calibri" w:cs="Calibri"/>
      <w:noProof/>
      <w:lang w:val="fr-FR" w:eastAsia="fr-FR"/>
    </w:rPr>
  </w:style>
  <w:style w:type="character" w:customStyle="1" w:styleId="EndNoteBibliographyCar">
    <w:name w:val="EndNote Bibliography Car"/>
    <w:basedOn w:val="Policepardfaut"/>
    <w:link w:val="EndNoteBibliography"/>
    <w:rsid w:val="00BC78D3"/>
    <w:rPr>
      <w:rFonts w:ascii="Calibri" w:eastAsiaTheme="minorEastAsia" w:hAnsi="Calibri" w:cs="Calibri"/>
      <w:noProof/>
      <w:lang w:val="fr-FR" w:eastAsia="fr-FR"/>
    </w:rPr>
  </w:style>
  <w:style w:type="table" w:styleId="Grilledutableau">
    <w:name w:val="Table Grid"/>
    <w:basedOn w:val="TableauNormal"/>
    <w:uiPriority w:val="59"/>
    <w:rsid w:val="00032D6D"/>
    <w:pPr>
      <w:spacing w:after="0" w:line="240" w:lineRule="auto"/>
    </w:pPr>
    <w:rPr>
      <w:rFonts w:eastAsiaTheme="minorEastAsia"/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56222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222F"/>
    <w:pPr>
      <w:widowControl w:val="0"/>
      <w:autoSpaceDE w:val="0"/>
      <w:autoSpaceDN w:val="0"/>
      <w:spacing w:after="0" w:line="240" w:lineRule="exact"/>
      <w:jc w:val="center"/>
    </w:pPr>
    <w:rPr>
      <w:rFonts w:ascii="Tahoma" w:eastAsia="Tahoma" w:hAnsi="Tahoma" w:cs="Tahoma"/>
      <w:lang w:val="fr-FR"/>
    </w:rPr>
  </w:style>
  <w:style w:type="character" w:styleId="Lienhypertexte">
    <w:name w:val="Hyperlink"/>
    <w:basedOn w:val="Policepardfaut"/>
    <w:uiPriority w:val="99"/>
    <w:unhideWhenUsed/>
    <w:rsid w:val="001B6CA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5238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hassan.tayh@fst.rnu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Ghassen</dc:creator>
  <cp:keywords/>
  <dc:description/>
  <cp:lastModifiedBy>Ghassen</cp:lastModifiedBy>
  <cp:revision>6</cp:revision>
  <dcterms:created xsi:type="dcterms:W3CDTF">2022-03-14T22:42:00Z</dcterms:created>
  <dcterms:modified xsi:type="dcterms:W3CDTF">2022-03-14T23:02:00Z</dcterms:modified>
</cp:coreProperties>
</file>