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00" w:rsidRDefault="00472100" w:rsidP="00770F50">
      <w:pPr>
        <w:jc w:val="center"/>
        <w:rPr>
          <w:rFonts w:ascii="Tahoma" w:hAnsi="Tahoma" w:cs="Tahoma"/>
          <w:b/>
        </w:rPr>
      </w:pPr>
      <w:r>
        <w:rPr>
          <w:rFonts w:ascii="Tahoma" w:hAnsi="Tahoma" w:cs="Tahoma"/>
          <w:b/>
        </w:rPr>
        <w:t xml:space="preserve">La prise en charge des infections urinaires </w:t>
      </w:r>
      <w:r w:rsidR="00770F50">
        <w:rPr>
          <w:rFonts w:ascii="Tahoma" w:hAnsi="Tahoma" w:cs="Tahoma"/>
          <w:b/>
        </w:rPr>
        <w:t>avec preuve bactériologique dans une structure de base</w:t>
      </w:r>
      <w:r>
        <w:rPr>
          <w:rFonts w:ascii="Tahoma" w:hAnsi="Tahoma" w:cs="Tahoma"/>
          <w:b/>
        </w:rPr>
        <w:t> </w:t>
      </w:r>
    </w:p>
    <w:p w:rsidR="00472100" w:rsidRDefault="00472100" w:rsidP="00472100">
      <w:pPr>
        <w:rPr>
          <w:rFonts w:ascii="Tahoma" w:hAnsi="Tahoma" w:cs="Tahoma"/>
          <w:b/>
        </w:rPr>
      </w:pPr>
    </w:p>
    <w:p w:rsidR="00472100" w:rsidRDefault="00472100" w:rsidP="00770F50">
      <w:pPr>
        <w:rPr>
          <w:rFonts w:ascii="Tahoma" w:hAnsi="Tahoma" w:cs="Tahoma"/>
          <w:b/>
        </w:rPr>
      </w:pPr>
      <w:r>
        <w:rPr>
          <w:rFonts w:ascii="Tahoma" w:hAnsi="Tahoma" w:cs="Tahoma"/>
          <w:b/>
        </w:rPr>
        <w:t xml:space="preserve">N </w:t>
      </w:r>
      <w:proofErr w:type="spellStart"/>
      <w:r>
        <w:rPr>
          <w:rFonts w:ascii="Tahoma" w:hAnsi="Tahoma" w:cs="Tahoma"/>
          <w:b/>
        </w:rPr>
        <w:t>Belaid</w:t>
      </w:r>
      <w:proofErr w:type="spellEnd"/>
      <w:r w:rsidR="00770F50">
        <w:rPr>
          <w:rFonts w:ascii="Tahoma" w:hAnsi="Tahoma" w:cs="Tahoma"/>
          <w:b/>
        </w:rPr>
        <w:t xml:space="preserve"> </w:t>
      </w:r>
      <w:proofErr w:type="spellStart"/>
      <w:r w:rsidR="00770F50">
        <w:rPr>
          <w:rFonts w:ascii="Tahoma" w:hAnsi="Tahoma" w:cs="Tahoma"/>
          <w:b/>
        </w:rPr>
        <w:t>Kamoun</w:t>
      </w:r>
      <w:proofErr w:type="spellEnd"/>
      <w:r>
        <w:rPr>
          <w:rFonts w:ascii="Tahoma" w:hAnsi="Tahoma" w:cs="Tahoma"/>
          <w:b/>
        </w:rPr>
        <w:t xml:space="preserve">, </w:t>
      </w:r>
      <w:r w:rsidR="00770F50">
        <w:rPr>
          <w:rFonts w:ascii="Tahoma" w:hAnsi="Tahoma" w:cs="Tahoma"/>
          <w:b/>
        </w:rPr>
        <w:t xml:space="preserve">F Ben </w:t>
      </w:r>
      <w:proofErr w:type="spellStart"/>
      <w:r w:rsidR="00770F50">
        <w:rPr>
          <w:rFonts w:ascii="Tahoma" w:hAnsi="Tahoma" w:cs="Tahoma"/>
          <w:b/>
        </w:rPr>
        <w:t>Kaddour</w:t>
      </w:r>
      <w:proofErr w:type="spellEnd"/>
      <w:r w:rsidR="00770F50">
        <w:rPr>
          <w:rFonts w:ascii="Tahoma" w:hAnsi="Tahoma" w:cs="Tahoma"/>
          <w:b/>
        </w:rPr>
        <w:t xml:space="preserve">, M </w:t>
      </w:r>
      <w:proofErr w:type="spellStart"/>
      <w:r w:rsidR="00770F50">
        <w:rPr>
          <w:rFonts w:ascii="Tahoma" w:hAnsi="Tahoma" w:cs="Tahoma"/>
          <w:b/>
        </w:rPr>
        <w:t>Abdenadher</w:t>
      </w:r>
      <w:proofErr w:type="spellEnd"/>
      <w:r w:rsidR="00770F50">
        <w:rPr>
          <w:rFonts w:ascii="Tahoma" w:hAnsi="Tahoma" w:cs="Tahoma"/>
          <w:b/>
        </w:rPr>
        <w:t xml:space="preserve">, M </w:t>
      </w:r>
      <w:proofErr w:type="spellStart"/>
      <w:r w:rsidR="00770F50">
        <w:rPr>
          <w:rFonts w:ascii="Tahoma" w:hAnsi="Tahoma" w:cs="Tahoma"/>
          <w:b/>
        </w:rPr>
        <w:t>Ouni</w:t>
      </w:r>
      <w:proofErr w:type="spellEnd"/>
      <w:r w:rsidR="00770F50">
        <w:rPr>
          <w:rFonts w:ascii="Tahoma" w:hAnsi="Tahoma" w:cs="Tahoma"/>
          <w:b/>
        </w:rPr>
        <w:t xml:space="preserve">, L </w:t>
      </w:r>
      <w:proofErr w:type="spellStart"/>
      <w:r w:rsidR="00770F50">
        <w:rPr>
          <w:rFonts w:ascii="Tahoma" w:hAnsi="Tahoma" w:cs="Tahoma"/>
          <w:b/>
        </w:rPr>
        <w:t>sallami</w:t>
      </w:r>
      <w:proofErr w:type="spellEnd"/>
      <w:r w:rsidR="00770F50">
        <w:rPr>
          <w:rFonts w:ascii="Tahoma" w:hAnsi="Tahoma" w:cs="Tahoma"/>
          <w:b/>
        </w:rPr>
        <w:t xml:space="preserve"> Ben Ahmed</w:t>
      </w:r>
    </w:p>
    <w:p w:rsidR="00472100" w:rsidRDefault="00472100" w:rsidP="00D87CC5">
      <w:pPr>
        <w:rPr>
          <w:rFonts w:ascii="Tahoma" w:hAnsi="Tahoma" w:cs="Tahoma"/>
          <w:b/>
        </w:rPr>
      </w:pPr>
      <w:r>
        <w:rPr>
          <w:rFonts w:ascii="Tahoma" w:hAnsi="Tahoma" w:cs="Tahoma"/>
          <w:b/>
        </w:rPr>
        <w:t>Centre de</w:t>
      </w:r>
      <w:r w:rsidR="00D87CC5">
        <w:rPr>
          <w:rFonts w:ascii="Tahoma" w:hAnsi="Tahoma" w:cs="Tahoma"/>
          <w:b/>
        </w:rPr>
        <w:t xml:space="preserve"> soins</w:t>
      </w:r>
      <w:r w:rsidR="009A6476">
        <w:rPr>
          <w:rFonts w:ascii="Tahoma" w:hAnsi="Tahoma" w:cs="Tahoma"/>
          <w:b/>
        </w:rPr>
        <w:t xml:space="preserve"> de base </w:t>
      </w:r>
      <w:proofErr w:type="spellStart"/>
      <w:r w:rsidR="009A6476">
        <w:rPr>
          <w:rFonts w:ascii="Tahoma" w:hAnsi="Tahoma" w:cs="Tahoma"/>
          <w:b/>
        </w:rPr>
        <w:t>I</w:t>
      </w:r>
      <w:r>
        <w:rPr>
          <w:rFonts w:ascii="Tahoma" w:hAnsi="Tahoma" w:cs="Tahoma"/>
          <w:b/>
        </w:rPr>
        <w:t>ntilaka</w:t>
      </w:r>
      <w:proofErr w:type="spellEnd"/>
      <w:r w:rsidR="00D87CC5">
        <w:rPr>
          <w:rFonts w:ascii="Tahoma" w:hAnsi="Tahoma" w:cs="Tahoma"/>
          <w:b/>
        </w:rPr>
        <w:t xml:space="preserve"> Tunis Nord</w:t>
      </w:r>
    </w:p>
    <w:p w:rsidR="00472100" w:rsidRDefault="00472100" w:rsidP="00472100">
      <w:pPr>
        <w:autoSpaceDE w:val="0"/>
        <w:autoSpaceDN w:val="0"/>
        <w:adjustRightInd w:val="0"/>
        <w:spacing w:after="0" w:line="240" w:lineRule="auto"/>
        <w:contextualSpacing/>
        <w:jc w:val="both"/>
        <w:rPr>
          <w:rFonts w:ascii="Tahoma" w:hAnsi="Tahoma" w:cs="Tahoma"/>
        </w:rPr>
      </w:pPr>
      <w:r>
        <w:rPr>
          <w:rFonts w:ascii="Tahoma" w:hAnsi="Tahoma" w:cs="Tahoma"/>
        </w:rPr>
        <w:t>Les infections urinaires sont très hétérogènes. Le diagnostic microbiologique repose sur l’ECBU qui doit être réalisé avant la mise sous antibiothérapie. Les entérobactéries sont responsables de la majorité des cas. Le traitement initial reste dans la majorité des cas un traitement probabiliste.</w:t>
      </w:r>
    </w:p>
    <w:p w:rsidR="00472100" w:rsidRPr="000074D9" w:rsidRDefault="00472100" w:rsidP="000074D9">
      <w:pPr>
        <w:pStyle w:val="Default"/>
        <w:jc w:val="both"/>
        <w:rPr>
          <w:rFonts w:ascii="Tahoma" w:eastAsia="TimesNewRoman" w:hAnsi="Tahoma" w:cs="Tahoma"/>
          <w:color w:val="00000A"/>
          <w:sz w:val="22"/>
          <w:szCs w:val="22"/>
          <w:lang w:eastAsia="en-US"/>
        </w:rPr>
      </w:pPr>
      <w:r>
        <w:rPr>
          <w:rFonts w:ascii="Tahoma" w:hAnsi="Tahoma" w:cs="Tahoma"/>
          <w:sz w:val="22"/>
          <w:szCs w:val="22"/>
        </w:rPr>
        <w:t>Pour</w:t>
      </w:r>
      <w:r>
        <w:rPr>
          <w:rFonts w:ascii="Tahoma" w:eastAsia="TimesNewRoman" w:hAnsi="Tahoma" w:cs="Tahoma"/>
          <w:color w:val="00000A"/>
          <w:sz w:val="22"/>
          <w:szCs w:val="22"/>
          <w:lang w:eastAsia="en-US"/>
        </w:rPr>
        <w:t xml:space="preserve"> évaluer la</w:t>
      </w:r>
      <w:r w:rsidR="000074D9">
        <w:rPr>
          <w:rFonts w:ascii="Tahoma" w:eastAsia="TimesNewRoman" w:hAnsi="Tahoma" w:cs="Tahoma"/>
          <w:color w:val="00000A"/>
          <w:sz w:val="22"/>
          <w:szCs w:val="22"/>
          <w:lang w:eastAsia="en-US"/>
        </w:rPr>
        <w:t xml:space="preserve"> </w:t>
      </w:r>
      <w:r>
        <w:rPr>
          <w:rFonts w:ascii="Tahoma" w:eastAsia="TimesNewRoman" w:hAnsi="Tahoma" w:cs="Tahoma"/>
          <w:color w:val="00000A"/>
          <w:sz w:val="22"/>
          <w:szCs w:val="22"/>
          <w:lang w:eastAsia="en-US"/>
        </w:rPr>
        <w:t xml:space="preserve">prise en charge des patients ayant une </w:t>
      </w:r>
      <w:r w:rsidR="006A5789">
        <w:rPr>
          <w:rFonts w:ascii="Tahoma" w:eastAsia="TimesNewRoman" w:hAnsi="Tahoma" w:cs="Tahoma"/>
          <w:color w:val="00000A"/>
          <w:sz w:val="22"/>
          <w:szCs w:val="22"/>
          <w:lang w:eastAsia="en-US"/>
        </w:rPr>
        <w:t xml:space="preserve">infection </w:t>
      </w:r>
      <w:r w:rsidR="00F0480F">
        <w:rPr>
          <w:rFonts w:ascii="Tahoma" w:eastAsia="TimesNewRoman" w:hAnsi="Tahoma" w:cs="Tahoma"/>
          <w:color w:val="00000A"/>
          <w:sz w:val="22"/>
          <w:szCs w:val="22"/>
          <w:lang w:eastAsia="en-US"/>
        </w:rPr>
        <w:t xml:space="preserve">bactérienne </w:t>
      </w:r>
      <w:r w:rsidR="000074D9">
        <w:rPr>
          <w:rFonts w:ascii="Tahoma" w:eastAsia="TimesNewRoman" w:hAnsi="Tahoma" w:cs="Tahoma"/>
          <w:color w:val="00000A"/>
          <w:sz w:val="22"/>
          <w:szCs w:val="22"/>
          <w:lang w:eastAsia="en-US"/>
        </w:rPr>
        <w:t xml:space="preserve">dans une structure </w:t>
      </w:r>
      <w:r w:rsidR="00B95173">
        <w:rPr>
          <w:rFonts w:ascii="Tahoma" w:eastAsia="TimesNewRoman" w:hAnsi="Tahoma" w:cs="Tahoma"/>
          <w:color w:val="00000A"/>
          <w:sz w:val="22"/>
          <w:szCs w:val="22"/>
          <w:lang w:eastAsia="en-US"/>
        </w:rPr>
        <w:t xml:space="preserve">de santé </w:t>
      </w:r>
      <w:r w:rsidR="000074D9">
        <w:rPr>
          <w:rFonts w:ascii="Tahoma" w:eastAsia="TimesNewRoman" w:hAnsi="Tahoma" w:cs="Tahoma"/>
          <w:color w:val="00000A"/>
          <w:sz w:val="22"/>
          <w:szCs w:val="22"/>
          <w:lang w:eastAsia="en-US"/>
        </w:rPr>
        <w:t xml:space="preserve">de première ligne, </w:t>
      </w:r>
      <w:r>
        <w:rPr>
          <w:rFonts w:ascii="Tahoma" w:eastAsia="TimesNewRoman" w:hAnsi="Tahoma" w:cs="Tahoma"/>
          <w:color w:val="auto"/>
          <w:sz w:val="22"/>
          <w:szCs w:val="22"/>
          <w:lang w:eastAsia="en-US"/>
        </w:rPr>
        <w:t xml:space="preserve">nous avons mené </w:t>
      </w:r>
      <w:r>
        <w:rPr>
          <w:rFonts w:ascii="Tahoma" w:hAnsi="Tahoma" w:cs="Tahoma"/>
          <w:color w:val="auto"/>
          <w:sz w:val="22"/>
          <w:szCs w:val="22"/>
        </w:rPr>
        <w:t>une étude ré</w:t>
      </w:r>
      <w:r w:rsidR="00F745C0">
        <w:rPr>
          <w:rFonts w:ascii="Tahoma" w:hAnsi="Tahoma" w:cs="Tahoma"/>
          <w:color w:val="auto"/>
          <w:sz w:val="22"/>
          <w:szCs w:val="22"/>
        </w:rPr>
        <w:t>trospective sur une période de 2</w:t>
      </w:r>
      <w:r>
        <w:rPr>
          <w:rFonts w:ascii="Tahoma" w:hAnsi="Tahoma" w:cs="Tahoma"/>
          <w:color w:val="auto"/>
          <w:sz w:val="22"/>
          <w:szCs w:val="22"/>
        </w:rPr>
        <w:t xml:space="preserve"> an</w:t>
      </w:r>
      <w:r w:rsidR="00FF0966">
        <w:rPr>
          <w:rFonts w:ascii="Tahoma" w:hAnsi="Tahoma" w:cs="Tahoma"/>
          <w:color w:val="auto"/>
          <w:sz w:val="22"/>
          <w:szCs w:val="22"/>
        </w:rPr>
        <w:t>s</w:t>
      </w:r>
      <w:r>
        <w:rPr>
          <w:rFonts w:ascii="Tahoma" w:hAnsi="Tahoma" w:cs="Tahoma"/>
          <w:color w:val="auto"/>
          <w:sz w:val="22"/>
          <w:szCs w:val="22"/>
        </w:rPr>
        <w:t xml:space="preserve">, du 1 </w:t>
      </w:r>
      <w:r w:rsidR="00F745C0">
        <w:rPr>
          <w:rFonts w:ascii="Tahoma" w:hAnsi="Tahoma" w:cs="Tahoma"/>
          <w:color w:val="auto"/>
          <w:sz w:val="22"/>
          <w:szCs w:val="22"/>
        </w:rPr>
        <w:t>juin 2019 au 30 juin 2021</w:t>
      </w:r>
      <w:r>
        <w:rPr>
          <w:rFonts w:ascii="Tahoma" w:hAnsi="Tahoma" w:cs="Tahoma"/>
          <w:color w:val="auto"/>
          <w:sz w:val="22"/>
          <w:szCs w:val="22"/>
        </w:rPr>
        <w:t xml:space="preserve">. Elle a intéressé </w:t>
      </w:r>
      <w:r w:rsidR="00F745C0">
        <w:rPr>
          <w:rFonts w:ascii="Tahoma" w:hAnsi="Tahoma" w:cs="Tahoma"/>
          <w:color w:val="auto"/>
          <w:sz w:val="22"/>
          <w:szCs w:val="22"/>
        </w:rPr>
        <w:t>1</w:t>
      </w:r>
      <w:r w:rsidR="006A5789" w:rsidRPr="006A5789">
        <w:rPr>
          <w:rFonts w:ascii="Tahoma" w:hAnsi="Tahoma" w:cs="Tahoma"/>
          <w:color w:val="auto"/>
          <w:sz w:val="22"/>
          <w:szCs w:val="22"/>
        </w:rPr>
        <w:t>8</w:t>
      </w:r>
      <w:r w:rsidRPr="006A5789">
        <w:rPr>
          <w:rFonts w:ascii="Tahoma" w:hAnsi="Tahoma" w:cs="Tahoma"/>
          <w:color w:val="auto"/>
          <w:sz w:val="22"/>
          <w:szCs w:val="22"/>
        </w:rPr>
        <w:t xml:space="preserve"> </w:t>
      </w:r>
      <w:r>
        <w:rPr>
          <w:rFonts w:ascii="Tahoma" w:hAnsi="Tahoma" w:cs="Tahoma"/>
          <w:color w:val="auto"/>
          <w:sz w:val="22"/>
          <w:szCs w:val="22"/>
        </w:rPr>
        <w:t>patientes traité</w:t>
      </w:r>
      <w:r w:rsidR="006A5789">
        <w:rPr>
          <w:rFonts w:ascii="Tahoma" w:hAnsi="Tahoma" w:cs="Tahoma"/>
          <w:color w:val="auto"/>
          <w:sz w:val="22"/>
          <w:szCs w:val="22"/>
        </w:rPr>
        <w:t>e</w:t>
      </w:r>
      <w:r w:rsidR="000074D9">
        <w:rPr>
          <w:rFonts w:ascii="Tahoma" w:hAnsi="Tahoma" w:cs="Tahoma"/>
          <w:color w:val="auto"/>
          <w:sz w:val="22"/>
          <w:szCs w:val="22"/>
        </w:rPr>
        <w:t>s pour infection</w:t>
      </w:r>
      <w:r w:rsidR="000074D9" w:rsidRPr="000074D9">
        <w:rPr>
          <w:rFonts w:ascii="Tahoma" w:eastAsia="TimesNewRoman" w:hAnsi="Tahoma" w:cs="Tahoma"/>
          <w:color w:val="00000A"/>
          <w:sz w:val="22"/>
          <w:szCs w:val="22"/>
          <w:lang w:eastAsia="en-US"/>
        </w:rPr>
        <w:t xml:space="preserve"> </w:t>
      </w:r>
      <w:r w:rsidR="000074D9">
        <w:rPr>
          <w:rFonts w:ascii="Tahoma" w:eastAsia="TimesNewRoman" w:hAnsi="Tahoma" w:cs="Tahoma"/>
          <w:color w:val="00000A"/>
          <w:sz w:val="22"/>
          <w:szCs w:val="22"/>
          <w:lang w:eastAsia="en-US"/>
        </w:rPr>
        <w:t>urinaire avec preuve bactériologique</w:t>
      </w:r>
      <w:r>
        <w:rPr>
          <w:rFonts w:ascii="Tahoma" w:hAnsi="Tahoma" w:cs="Tahoma"/>
          <w:color w:val="auto"/>
          <w:sz w:val="22"/>
          <w:szCs w:val="22"/>
        </w:rPr>
        <w:t xml:space="preserve"> </w:t>
      </w:r>
      <w:r w:rsidR="006A5789">
        <w:rPr>
          <w:rFonts w:ascii="Tahoma" w:hAnsi="Tahoma" w:cs="Tahoma"/>
          <w:color w:val="auto"/>
          <w:sz w:val="22"/>
          <w:szCs w:val="22"/>
        </w:rPr>
        <w:t>dans une structure de base</w:t>
      </w:r>
      <w:r>
        <w:rPr>
          <w:rFonts w:ascii="Tahoma" w:hAnsi="Tahoma" w:cs="Tahoma"/>
          <w:color w:val="auto"/>
          <w:sz w:val="22"/>
          <w:szCs w:val="22"/>
        </w:rPr>
        <w:t>.</w:t>
      </w:r>
    </w:p>
    <w:p w:rsidR="00472100" w:rsidRDefault="00472100" w:rsidP="00B95173">
      <w:pPr>
        <w:rPr>
          <w:rFonts w:ascii="Tahoma" w:hAnsi="Tahoma" w:cs="Tahoma"/>
        </w:rPr>
      </w:pPr>
      <w:r>
        <w:rPr>
          <w:rFonts w:ascii="Tahoma" w:hAnsi="Tahoma" w:cs="Tahoma"/>
          <w:color w:val="000000" w:themeColor="text1"/>
        </w:rPr>
        <w:t>L’âg</w:t>
      </w:r>
      <w:r w:rsidR="00F745C0">
        <w:rPr>
          <w:rFonts w:ascii="Tahoma" w:hAnsi="Tahoma" w:cs="Tahoma"/>
          <w:color w:val="000000" w:themeColor="text1"/>
        </w:rPr>
        <w:t>e moyen des patients était de 59</w:t>
      </w:r>
      <w:r>
        <w:rPr>
          <w:rFonts w:ascii="Tahoma" w:hAnsi="Tahoma" w:cs="Tahoma"/>
          <w:color w:val="000000" w:themeColor="text1"/>
        </w:rPr>
        <w:t>,</w:t>
      </w:r>
      <w:r w:rsidR="00F745C0">
        <w:rPr>
          <w:rFonts w:ascii="Tahoma" w:hAnsi="Tahoma" w:cs="Tahoma"/>
          <w:color w:val="000000" w:themeColor="text1"/>
        </w:rPr>
        <w:t>11 ± 14,38</w:t>
      </w:r>
      <w:r>
        <w:rPr>
          <w:rFonts w:ascii="Tahoma" w:hAnsi="Tahoma" w:cs="Tahoma"/>
          <w:color w:val="000000" w:themeColor="text1"/>
        </w:rPr>
        <w:t xml:space="preserve"> ans [</w:t>
      </w:r>
      <w:r w:rsidR="00F745C0">
        <w:rPr>
          <w:rFonts w:ascii="Tahoma" w:hAnsi="Tahoma" w:cs="Tahoma"/>
          <w:color w:val="000000" w:themeColor="text1"/>
        </w:rPr>
        <w:t>27</w:t>
      </w:r>
      <w:r>
        <w:rPr>
          <w:rFonts w:ascii="Tahoma" w:hAnsi="Tahoma" w:cs="Tahoma"/>
          <w:color w:val="000000" w:themeColor="text1"/>
        </w:rPr>
        <w:t xml:space="preserve"> - </w:t>
      </w:r>
      <w:r w:rsidR="006A5789">
        <w:rPr>
          <w:rFonts w:ascii="Tahoma" w:hAnsi="Tahoma" w:cs="Tahoma"/>
          <w:color w:val="000000" w:themeColor="text1"/>
        </w:rPr>
        <w:t>81</w:t>
      </w:r>
      <w:r>
        <w:rPr>
          <w:rFonts w:ascii="Tahoma" w:hAnsi="Tahoma" w:cs="Tahoma"/>
          <w:color w:val="000000" w:themeColor="text1"/>
        </w:rPr>
        <w:t xml:space="preserve"> ans</w:t>
      </w:r>
      <w:r>
        <w:rPr>
          <w:rFonts w:ascii="Tahoma" w:hAnsi="Tahoma" w:cs="Tahoma"/>
        </w:rPr>
        <w:t>].</w:t>
      </w:r>
      <w:r w:rsidR="00B95173">
        <w:rPr>
          <w:rFonts w:ascii="Tahoma" w:hAnsi="Tahoma" w:cs="Tahoma"/>
        </w:rPr>
        <w:t xml:space="preserve"> Il s’agit d’un homme et de 17 femmes.</w:t>
      </w:r>
    </w:p>
    <w:p w:rsidR="00472100" w:rsidRDefault="00472100" w:rsidP="009E6F5B">
      <w:pPr>
        <w:spacing w:line="240" w:lineRule="auto"/>
        <w:jc w:val="both"/>
        <w:rPr>
          <w:rFonts w:ascii="Tahoma" w:hAnsi="Tahoma" w:cs="Tahoma"/>
        </w:rPr>
      </w:pPr>
      <w:r>
        <w:rPr>
          <w:rFonts w:ascii="Tahoma" w:hAnsi="Tahoma" w:cs="Tahoma"/>
        </w:rPr>
        <w:t>L’antibiothé</w:t>
      </w:r>
      <w:r w:rsidR="006A5789">
        <w:rPr>
          <w:rFonts w:ascii="Tahoma" w:hAnsi="Tahoma" w:cs="Tahoma"/>
        </w:rPr>
        <w:t>rapie était probabiliste dans 87.5</w:t>
      </w:r>
      <w:r>
        <w:rPr>
          <w:rFonts w:ascii="Tahoma" w:hAnsi="Tahoma" w:cs="Tahoma"/>
        </w:rPr>
        <w:t>% des cas</w:t>
      </w:r>
      <w:r w:rsidR="006A5789">
        <w:rPr>
          <w:rFonts w:ascii="Tahoma" w:hAnsi="Tahoma" w:cs="Tahoma"/>
        </w:rPr>
        <w:t xml:space="preserve"> </w:t>
      </w:r>
      <w:r w:rsidR="009A6476">
        <w:rPr>
          <w:rFonts w:ascii="Tahoma" w:hAnsi="Tahoma" w:cs="Tahoma"/>
        </w:rPr>
        <w:t>à base d’</w:t>
      </w:r>
      <w:proofErr w:type="spellStart"/>
      <w:r w:rsidR="009A6476">
        <w:rPr>
          <w:rFonts w:ascii="Tahoma" w:hAnsi="Tahoma" w:cs="Tahoma"/>
        </w:rPr>
        <w:t>Amoxi-clav</w:t>
      </w:r>
      <w:proofErr w:type="spellEnd"/>
      <w:r w:rsidR="009A6476">
        <w:rPr>
          <w:rFonts w:ascii="Tahoma" w:hAnsi="Tahoma" w:cs="Tahoma"/>
        </w:rPr>
        <w:t xml:space="preserve"> dans 33.3</w:t>
      </w:r>
      <w:r w:rsidR="009E6F5B">
        <w:rPr>
          <w:rFonts w:ascii="Tahoma" w:hAnsi="Tahoma" w:cs="Tahoma"/>
        </w:rPr>
        <w:t xml:space="preserve">% des cas, de </w:t>
      </w:r>
      <w:proofErr w:type="spellStart"/>
      <w:r w:rsidR="009E6F5B" w:rsidRPr="003554C2">
        <w:rPr>
          <w:rFonts w:ascii="Tahoma" w:hAnsi="Tahoma" w:cs="Tahoma"/>
          <w:bCs/>
        </w:rPr>
        <w:t>triméthoprime-sulfaméthoxazole</w:t>
      </w:r>
      <w:proofErr w:type="spellEnd"/>
      <w:r w:rsidR="009E6F5B">
        <w:rPr>
          <w:rFonts w:ascii="Tahoma" w:hAnsi="Tahoma" w:cs="Tahoma"/>
          <w:bCs/>
        </w:rPr>
        <w:t xml:space="preserve"> </w:t>
      </w:r>
      <w:r w:rsidR="009A6476">
        <w:rPr>
          <w:rFonts w:ascii="Tahoma" w:hAnsi="Tahoma" w:cs="Tahoma"/>
        </w:rPr>
        <w:t>dans 33.3</w:t>
      </w:r>
      <w:r w:rsidR="009E6F5B">
        <w:rPr>
          <w:rFonts w:ascii="Tahoma" w:hAnsi="Tahoma" w:cs="Tahoma"/>
        </w:rPr>
        <w:t>% de</w:t>
      </w:r>
      <w:r w:rsidR="009A6476">
        <w:rPr>
          <w:rFonts w:ascii="Tahoma" w:hAnsi="Tahoma" w:cs="Tahoma"/>
        </w:rPr>
        <w:t xml:space="preserve">s cas, de </w:t>
      </w:r>
      <w:proofErr w:type="spellStart"/>
      <w:r w:rsidR="009A6476">
        <w:rPr>
          <w:rFonts w:ascii="Tahoma" w:hAnsi="Tahoma" w:cs="Tahoma"/>
        </w:rPr>
        <w:t>fluoroquinolone</w:t>
      </w:r>
      <w:proofErr w:type="spellEnd"/>
      <w:r w:rsidR="009A6476">
        <w:rPr>
          <w:rFonts w:ascii="Tahoma" w:hAnsi="Tahoma" w:cs="Tahoma"/>
        </w:rPr>
        <w:t xml:space="preserve"> dans 2</w:t>
      </w:r>
      <w:r w:rsidR="009E6F5B">
        <w:rPr>
          <w:rFonts w:ascii="Tahoma" w:hAnsi="Tahoma" w:cs="Tahoma"/>
        </w:rPr>
        <w:t xml:space="preserve">2,5%. </w:t>
      </w:r>
      <w:r>
        <w:rPr>
          <w:rFonts w:ascii="Tahoma" w:hAnsi="Tahoma" w:cs="Tahoma"/>
        </w:rPr>
        <w:t>Le trai</w:t>
      </w:r>
      <w:r w:rsidR="006A5789">
        <w:rPr>
          <w:rFonts w:ascii="Tahoma" w:hAnsi="Tahoma" w:cs="Tahoma"/>
        </w:rPr>
        <w:t xml:space="preserve">tement </w:t>
      </w:r>
      <w:r w:rsidR="009A6476">
        <w:rPr>
          <w:rFonts w:ascii="Tahoma" w:hAnsi="Tahoma" w:cs="Tahoma"/>
        </w:rPr>
        <w:t>a été réadapté dans deux</w:t>
      </w:r>
      <w:r w:rsidR="009E6F5B">
        <w:rPr>
          <w:rFonts w:ascii="Tahoma" w:hAnsi="Tahoma" w:cs="Tahoma"/>
        </w:rPr>
        <w:t xml:space="preserve"> cas. </w:t>
      </w:r>
      <w:r w:rsidR="006A5789">
        <w:rPr>
          <w:rFonts w:ascii="Tahoma" w:hAnsi="Tahoma" w:cs="Tahoma"/>
        </w:rPr>
        <w:t xml:space="preserve"> </w:t>
      </w:r>
    </w:p>
    <w:p w:rsidR="00472100" w:rsidRDefault="00472100" w:rsidP="009E6F5B">
      <w:pPr>
        <w:spacing w:line="240" w:lineRule="auto"/>
        <w:jc w:val="both"/>
        <w:rPr>
          <w:rFonts w:ascii="Tahoma" w:hAnsi="Tahoma" w:cs="Tahoma"/>
        </w:rPr>
      </w:pPr>
      <w:r>
        <w:rPr>
          <w:rFonts w:ascii="Tahoma" w:hAnsi="Tahoma" w:cs="Tahoma"/>
        </w:rPr>
        <w:t>La durée de l’antibiothérapie était</w:t>
      </w:r>
      <w:r w:rsidR="009E6F5B">
        <w:rPr>
          <w:rFonts w:ascii="Tahoma" w:hAnsi="Tahoma" w:cs="Tahoma"/>
        </w:rPr>
        <w:t xml:space="preserve"> </w:t>
      </w:r>
      <w:r w:rsidR="003333BC">
        <w:rPr>
          <w:rFonts w:ascii="Tahoma" w:hAnsi="Tahoma" w:cs="Tahoma"/>
        </w:rPr>
        <w:t>en moyenne de 8 jours</w:t>
      </w:r>
    </w:p>
    <w:p w:rsidR="00472100" w:rsidRDefault="00472100" w:rsidP="003333BC">
      <w:pPr>
        <w:spacing w:line="240" w:lineRule="auto"/>
        <w:jc w:val="both"/>
        <w:rPr>
          <w:rFonts w:ascii="Tahoma" w:hAnsi="Tahoma" w:cs="Tahoma"/>
        </w:rPr>
      </w:pPr>
      <w:r>
        <w:rPr>
          <w:rFonts w:ascii="Tahoma" w:hAnsi="Tahoma" w:cs="Tahoma"/>
        </w:rPr>
        <w:t xml:space="preserve">L’évolution clinique a été favorable dans </w:t>
      </w:r>
      <w:r w:rsidR="003333BC">
        <w:rPr>
          <w:rFonts w:ascii="Tahoma" w:hAnsi="Tahoma" w:cs="Tahoma"/>
        </w:rPr>
        <w:t>85</w:t>
      </w:r>
      <w:r>
        <w:rPr>
          <w:rFonts w:ascii="Tahoma" w:hAnsi="Tahoma" w:cs="Tahoma"/>
        </w:rPr>
        <w:t>.</w:t>
      </w:r>
      <w:r w:rsidR="003333BC">
        <w:rPr>
          <w:rFonts w:ascii="Tahoma" w:hAnsi="Tahoma" w:cs="Tahoma"/>
        </w:rPr>
        <w:t>7</w:t>
      </w:r>
      <w:r>
        <w:rPr>
          <w:rFonts w:ascii="Tahoma" w:hAnsi="Tahoma" w:cs="Tahoma"/>
        </w:rPr>
        <w:t>% des cas</w:t>
      </w:r>
      <w:r w:rsidR="009A6476">
        <w:rPr>
          <w:rFonts w:ascii="Tahoma" w:hAnsi="Tahoma" w:cs="Tahoma"/>
        </w:rPr>
        <w:t>, deux patients ont</w:t>
      </w:r>
      <w:r w:rsidR="003333BC">
        <w:rPr>
          <w:rFonts w:ascii="Tahoma" w:hAnsi="Tahoma" w:cs="Tahoma"/>
        </w:rPr>
        <w:t xml:space="preserve"> </w:t>
      </w:r>
      <w:r w:rsidR="009E6F5B">
        <w:rPr>
          <w:rFonts w:ascii="Tahoma" w:hAnsi="Tahoma" w:cs="Tahoma"/>
        </w:rPr>
        <w:t>présenté</w:t>
      </w:r>
      <w:r w:rsidR="003333BC">
        <w:rPr>
          <w:rFonts w:ascii="Tahoma" w:hAnsi="Tahoma" w:cs="Tahoma"/>
        </w:rPr>
        <w:t xml:space="preserve"> une récidive précoce</w:t>
      </w:r>
      <w:r>
        <w:rPr>
          <w:rFonts w:ascii="Tahoma" w:hAnsi="Tahoma" w:cs="Tahoma"/>
        </w:rPr>
        <w:t>.</w:t>
      </w:r>
    </w:p>
    <w:p w:rsidR="003333BC" w:rsidRDefault="009E6F5B" w:rsidP="00624FC5">
      <w:pPr>
        <w:spacing w:line="240" w:lineRule="auto"/>
        <w:jc w:val="both"/>
        <w:rPr>
          <w:rFonts w:ascii="Tahoma" w:hAnsi="Tahoma" w:cs="Tahoma"/>
        </w:rPr>
      </w:pPr>
      <w:r w:rsidRPr="00624FC5">
        <w:rPr>
          <w:rFonts w:ascii="Tahoma" w:hAnsi="Tahoma" w:cs="Tahoma"/>
        </w:rPr>
        <w:t>Les infections urinaires sont probablement la première cause d’infections bactériennes en ville</w:t>
      </w:r>
      <w:r w:rsidR="00624FC5" w:rsidRPr="00624FC5">
        <w:rPr>
          <w:rFonts w:ascii="Tahoma" w:hAnsi="Tahoma" w:cs="Tahoma"/>
        </w:rPr>
        <w:t>.</w:t>
      </w:r>
      <w:r w:rsidRPr="00624FC5">
        <w:rPr>
          <w:rFonts w:ascii="Tahoma" w:hAnsi="Tahoma" w:cs="Tahoma"/>
        </w:rPr>
        <w:t xml:space="preserve"> </w:t>
      </w:r>
      <w:r w:rsidR="00624FC5" w:rsidRPr="00624FC5">
        <w:rPr>
          <w:rFonts w:ascii="Tahoma" w:hAnsi="Tahoma" w:cs="Tahoma"/>
        </w:rPr>
        <w:t>D</w:t>
      </w:r>
      <w:r w:rsidR="003333BC" w:rsidRPr="00624FC5">
        <w:rPr>
          <w:rFonts w:ascii="Tahoma" w:hAnsi="Tahoma" w:cs="Tahoma"/>
        </w:rPr>
        <w:t xml:space="preserve">evant </w:t>
      </w:r>
      <w:r w:rsidR="00624FC5" w:rsidRPr="00624FC5">
        <w:rPr>
          <w:rFonts w:ascii="Tahoma" w:hAnsi="Tahoma" w:cs="Tahoma"/>
        </w:rPr>
        <w:t xml:space="preserve">certaines difficultés d’avoir une confirmation </w:t>
      </w:r>
      <w:r w:rsidR="003333BC" w:rsidRPr="00624FC5">
        <w:rPr>
          <w:rFonts w:ascii="Tahoma" w:hAnsi="Tahoma" w:cs="Tahoma"/>
        </w:rPr>
        <w:t xml:space="preserve"> </w:t>
      </w:r>
      <w:r w:rsidR="00624FC5" w:rsidRPr="00624FC5">
        <w:rPr>
          <w:rFonts w:ascii="Tahoma" w:hAnsi="Tahoma" w:cs="Tahoma"/>
        </w:rPr>
        <w:t xml:space="preserve">bactériologique d’une </w:t>
      </w:r>
      <w:r w:rsidRPr="00624FC5">
        <w:rPr>
          <w:rFonts w:ascii="Tahoma" w:hAnsi="Tahoma" w:cs="Tahoma"/>
        </w:rPr>
        <w:t>infection urinaire</w:t>
      </w:r>
      <w:r w:rsidR="000026B8" w:rsidRPr="00624FC5">
        <w:rPr>
          <w:rFonts w:ascii="Tahoma" w:hAnsi="Tahoma" w:cs="Tahoma"/>
        </w:rPr>
        <w:t>.</w:t>
      </w:r>
      <w:r w:rsidR="000026B8">
        <w:rPr>
          <w:rFonts w:ascii="Tahoma" w:hAnsi="Tahoma" w:cs="Tahoma"/>
        </w:rPr>
        <w:t xml:space="preserve"> F</w:t>
      </w:r>
      <w:r>
        <w:rPr>
          <w:rFonts w:ascii="Tahoma" w:hAnsi="Tahoma" w:cs="Tahoma"/>
        </w:rPr>
        <w:t xml:space="preserve">aut-il </w:t>
      </w:r>
      <w:r w:rsidR="000026B8">
        <w:rPr>
          <w:rFonts w:ascii="Tahoma" w:hAnsi="Tahoma" w:cs="Tahoma"/>
        </w:rPr>
        <w:t>encourager une logistique de prélèvements bactériologiques dans les structures de base ?</w:t>
      </w:r>
    </w:p>
    <w:p w:rsidR="00053BD5" w:rsidRDefault="00053BD5" w:rsidP="00624FC5">
      <w:pPr>
        <w:spacing w:line="240" w:lineRule="auto"/>
        <w:jc w:val="both"/>
        <w:rPr>
          <w:rFonts w:ascii="Tahoma" w:hAnsi="Tahoma" w:cs="Tahoma"/>
        </w:rPr>
      </w:pPr>
      <w:bookmarkStart w:id="0" w:name="_GoBack"/>
      <w:bookmarkEnd w:id="0"/>
    </w:p>
    <w:p w:rsidR="00472100" w:rsidRDefault="00472100" w:rsidP="00472100">
      <w:pPr>
        <w:rPr>
          <w:rFonts w:ascii="Tahoma" w:hAnsi="Tahoma" w:cs="Tahoma"/>
          <w:b/>
        </w:rPr>
      </w:pPr>
    </w:p>
    <w:p w:rsidR="00472100" w:rsidRDefault="00472100" w:rsidP="00472100">
      <w:pPr>
        <w:jc w:val="center"/>
        <w:rPr>
          <w:rFonts w:ascii="Tahoma" w:hAnsi="Tahoma" w:cs="Tahoma"/>
          <w:b/>
        </w:rPr>
      </w:pPr>
    </w:p>
    <w:p w:rsidR="00640B28" w:rsidRDefault="00640B28"/>
    <w:sectPr w:rsidR="00640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85"/>
    <w:rsid w:val="000026B8"/>
    <w:rsid w:val="000074D9"/>
    <w:rsid w:val="00031A7C"/>
    <w:rsid w:val="00053BD5"/>
    <w:rsid w:val="000E55B2"/>
    <w:rsid w:val="0028083F"/>
    <w:rsid w:val="00285A6E"/>
    <w:rsid w:val="003333BC"/>
    <w:rsid w:val="00472100"/>
    <w:rsid w:val="00624FC5"/>
    <w:rsid w:val="006358D7"/>
    <w:rsid w:val="00640B28"/>
    <w:rsid w:val="00690B17"/>
    <w:rsid w:val="006A5789"/>
    <w:rsid w:val="00770F50"/>
    <w:rsid w:val="007D3285"/>
    <w:rsid w:val="008D194E"/>
    <w:rsid w:val="009A6476"/>
    <w:rsid w:val="009E6F5B"/>
    <w:rsid w:val="00B95173"/>
    <w:rsid w:val="00D87CC5"/>
    <w:rsid w:val="00F0480F"/>
    <w:rsid w:val="00F745C0"/>
    <w:rsid w:val="00FF09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7210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Accentuation">
    <w:name w:val="Emphasis"/>
    <w:basedOn w:val="Policepardfaut"/>
    <w:uiPriority w:val="20"/>
    <w:qFormat/>
    <w:rsid w:val="000026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7210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Accentuation">
    <w:name w:val="Emphasis"/>
    <w:basedOn w:val="Policepardfaut"/>
    <w:uiPriority w:val="20"/>
    <w:qFormat/>
    <w:rsid w:val="00002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360">
      <w:bodyDiv w:val="1"/>
      <w:marLeft w:val="0"/>
      <w:marRight w:val="0"/>
      <w:marTop w:val="0"/>
      <w:marBottom w:val="0"/>
      <w:divBdr>
        <w:top w:val="none" w:sz="0" w:space="0" w:color="auto"/>
        <w:left w:val="none" w:sz="0" w:space="0" w:color="auto"/>
        <w:bottom w:val="none" w:sz="0" w:space="0" w:color="auto"/>
        <w:right w:val="none" w:sz="0" w:space="0" w:color="auto"/>
      </w:divBdr>
    </w:div>
    <w:div w:id="8544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253</Words>
  <Characters>1395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2020-01-16T20:40:00Z</dcterms:created>
  <dcterms:modified xsi:type="dcterms:W3CDTF">2022-01-16T21:47:00Z</dcterms:modified>
</cp:coreProperties>
</file>