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86" w:rsidRDefault="00B80DA7" w:rsidP="00B80DA7">
      <w:pPr>
        <w:jc w:val="both"/>
      </w:pPr>
      <w:r>
        <w:t>Particularités épidémiologiques d</w:t>
      </w:r>
      <w:r w:rsidR="00F63086" w:rsidRPr="00AC5111">
        <w:rPr>
          <w:b/>
          <w:bCs/>
        </w:rPr>
        <w:t xml:space="preserve">es parasitoses intestinales dans la région de Sfax entre 2007 et 2020 </w:t>
      </w:r>
    </w:p>
    <w:p w:rsidR="00F63086" w:rsidRDefault="00F63086" w:rsidP="00B80DA7">
      <w:pPr>
        <w:jc w:val="both"/>
      </w:pPr>
      <w:r>
        <w:t>Laboratoire de parasitologie mycologie CHU Habib Bourguiba Sfax, Tunisie</w:t>
      </w:r>
    </w:p>
    <w:p w:rsidR="00F63086" w:rsidRDefault="00F63086" w:rsidP="00B80DA7">
      <w:pPr>
        <w:jc w:val="both"/>
      </w:pPr>
    </w:p>
    <w:p w:rsidR="002C61F6" w:rsidRDefault="00F63086" w:rsidP="00B80DA7">
      <w:pPr>
        <w:jc w:val="both"/>
      </w:pPr>
      <w:r w:rsidRPr="00F63086">
        <w:rPr>
          <w:b/>
          <w:bCs/>
        </w:rPr>
        <w:t>Introduction :</w:t>
      </w:r>
      <w:r>
        <w:t xml:space="preserve"> </w:t>
      </w:r>
      <w:r w:rsidR="00B80DA7">
        <w:t>Le profil épidémiologique d</w:t>
      </w:r>
      <w:r>
        <w:t xml:space="preserve">es parasitoses intestinales (PI) </w:t>
      </w:r>
      <w:r w:rsidR="00B80DA7">
        <w:t>ne cesse de se</w:t>
      </w:r>
      <w:bookmarkStart w:id="0" w:name="_GoBack"/>
      <w:bookmarkEnd w:id="0"/>
      <w:r w:rsidR="00B80DA7">
        <w:t xml:space="preserve"> modifier et au fil des années</w:t>
      </w:r>
    </w:p>
    <w:p w:rsidR="00F63086" w:rsidRDefault="002C61F6" w:rsidP="00B80DA7">
      <w:pPr>
        <w:jc w:val="both"/>
      </w:pPr>
      <w:proofErr w:type="gramStart"/>
      <w:r w:rsidRPr="00886B56">
        <w:rPr>
          <w:b/>
          <w:bCs/>
        </w:rPr>
        <w:t>objectif</w:t>
      </w:r>
      <w:proofErr w:type="gramEnd"/>
      <w:r w:rsidRPr="00886B56">
        <w:rPr>
          <w:b/>
          <w:bCs/>
        </w:rPr>
        <w:t> :</w:t>
      </w:r>
      <w:r w:rsidR="00F63086">
        <w:t xml:space="preserve"> actualiser les spécificités épidémiologiques des PI</w:t>
      </w:r>
      <w:r w:rsidR="00B80DA7">
        <w:t xml:space="preserve"> </w:t>
      </w:r>
      <w:r w:rsidR="00F63086">
        <w:t>dans la région de Sfax.</w:t>
      </w:r>
    </w:p>
    <w:p w:rsidR="00F63086" w:rsidRDefault="00F63086" w:rsidP="00830B80">
      <w:pPr>
        <w:jc w:val="both"/>
      </w:pPr>
      <w:r w:rsidRPr="00F63086">
        <w:rPr>
          <w:b/>
          <w:bCs/>
        </w:rPr>
        <w:t>Matériel et méthodes :</w:t>
      </w:r>
      <w:r>
        <w:t xml:space="preserve"> Notre étude était rétrospective ayant inclus tous les patients</w:t>
      </w:r>
      <w:r w:rsidR="00B80DA7">
        <w:t xml:space="preserve"> </w:t>
      </w:r>
      <w:r>
        <w:t>suspects de PI et adressés au laboratoire de Parasitologie-Mycologie du CHU Habib</w:t>
      </w:r>
      <w:r w:rsidR="00B80DA7">
        <w:t xml:space="preserve"> </w:t>
      </w:r>
      <w:r>
        <w:t>Bourguiba de Sfax pour examen parasitologique des selles (EPS) et ce, durant la période</w:t>
      </w:r>
      <w:r w:rsidR="00B80DA7">
        <w:t xml:space="preserve"> </w:t>
      </w:r>
      <w:r>
        <w:t>2007-2020.</w:t>
      </w:r>
      <w:r w:rsidR="00B80DA7">
        <w:t xml:space="preserve"> </w:t>
      </w:r>
    </w:p>
    <w:p w:rsidR="00AC5111" w:rsidRDefault="00F63086" w:rsidP="00B80DA7">
      <w:pPr>
        <w:jc w:val="both"/>
      </w:pPr>
      <w:r w:rsidRPr="00F63086">
        <w:rPr>
          <w:b/>
          <w:bCs/>
        </w:rPr>
        <w:t xml:space="preserve">Résultats </w:t>
      </w:r>
      <w:r>
        <w:t>: Nous avons enregistré 2802 EPS positifs parmi 15405 EPS pratiqués durant la</w:t>
      </w:r>
      <w:r w:rsidR="00B80DA7">
        <w:t xml:space="preserve"> </w:t>
      </w:r>
      <w:r>
        <w:t>période de l’étude soit un index parasitaire simple (IPS) de 18,18%. Nous avons noté une</w:t>
      </w:r>
      <w:r w:rsidR="00B80DA7">
        <w:t xml:space="preserve"> </w:t>
      </w:r>
      <w:r>
        <w:t xml:space="preserve">tendance significative à la baisse de l’IPS entre 2007 et 2020 (Rho=-0,99 ; p&lt;0,001). </w:t>
      </w:r>
      <w:proofErr w:type="gramStart"/>
      <w:r>
        <w:t>Le</w:t>
      </w:r>
      <w:proofErr w:type="gramEnd"/>
      <w:r w:rsidR="00B80DA7">
        <w:t xml:space="preserve"> </w:t>
      </w:r>
      <w:r>
        <w:t>sex-ratio des sujets parasités était de 0,99. La répartition selon les saisons a révélé que les</w:t>
      </w:r>
      <w:r w:rsidR="00B80DA7">
        <w:t xml:space="preserve"> </w:t>
      </w:r>
      <w:r>
        <w:t>cas de PI étaient plus fréquents en printemps (n=816 ; 30%) avec une diminution en hiver</w:t>
      </w:r>
      <w:r w:rsidR="00B80DA7">
        <w:t xml:space="preserve"> </w:t>
      </w:r>
      <w:r>
        <w:t xml:space="preserve">(n=583 ; 22%). La majorité des cas provenait des </w:t>
      </w:r>
      <w:r w:rsidR="00B80DA7">
        <w:t>structures sanitaires de première ligne</w:t>
      </w:r>
      <w:r>
        <w:t xml:space="preserve"> (n=532 ; 19 %), des services</w:t>
      </w:r>
      <w:r w:rsidR="00B80DA7">
        <w:t xml:space="preserve"> </w:t>
      </w:r>
      <w:r>
        <w:t>de néphrologie (n=367 ; 13,3%) et de pédiatrie (n=276 ; 9 </w:t>
      </w:r>
      <w:proofErr w:type="gramStart"/>
      <w:r>
        <w:t>;8</w:t>
      </w:r>
      <w:proofErr w:type="gramEnd"/>
      <w:r>
        <w:t>%). Les parasites isolés dans les</w:t>
      </w:r>
      <w:r w:rsidR="00B80DA7">
        <w:t xml:space="preserve"> </w:t>
      </w:r>
      <w:r>
        <w:t>EPS étaient principalement des protozoaires (n=2585 ; 97,4%) parmi lesquels le</w:t>
      </w:r>
      <w:r w:rsidR="00B80DA7">
        <w:t xml:space="preserve"> </w:t>
      </w:r>
      <w:proofErr w:type="spellStart"/>
      <w:r w:rsidRPr="00830B80">
        <w:rPr>
          <w:i/>
          <w:iCs/>
        </w:rPr>
        <w:t>Blastocystis</w:t>
      </w:r>
      <w:proofErr w:type="spellEnd"/>
      <w:r w:rsidRPr="00830B80">
        <w:rPr>
          <w:i/>
          <w:iCs/>
        </w:rPr>
        <w:t xml:space="preserve"> </w:t>
      </w:r>
      <w:proofErr w:type="spellStart"/>
      <w:r w:rsidRPr="00830B80">
        <w:rPr>
          <w:i/>
          <w:iCs/>
        </w:rPr>
        <w:t>hominis</w:t>
      </w:r>
      <w:proofErr w:type="spellEnd"/>
      <w:r>
        <w:t xml:space="preserve"> occupait le premier rang (n=1623 ; 57,9%), suivi par </w:t>
      </w:r>
      <w:proofErr w:type="spellStart"/>
      <w:r w:rsidRPr="00830B80">
        <w:rPr>
          <w:i/>
          <w:iCs/>
        </w:rPr>
        <w:t>Dientamoeba</w:t>
      </w:r>
      <w:proofErr w:type="spellEnd"/>
      <w:r w:rsidR="00B80DA7" w:rsidRPr="00830B80">
        <w:rPr>
          <w:i/>
          <w:iCs/>
        </w:rPr>
        <w:t xml:space="preserve"> </w:t>
      </w:r>
      <w:proofErr w:type="spellStart"/>
      <w:r w:rsidRPr="00830B80">
        <w:rPr>
          <w:i/>
          <w:iCs/>
        </w:rPr>
        <w:t>fragilis</w:t>
      </w:r>
      <w:proofErr w:type="spellEnd"/>
      <w:r>
        <w:t xml:space="preserve"> (n=6</w:t>
      </w:r>
      <w:r w:rsidR="00AC5111">
        <w:t>56</w:t>
      </w:r>
      <w:r>
        <w:t xml:space="preserve"> </w:t>
      </w:r>
      <w:proofErr w:type="gramStart"/>
      <w:r>
        <w:t>;2</w:t>
      </w:r>
      <w:r w:rsidR="00AC5111">
        <w:t>3,4</w:t>
      </w:r>
      <w:proofErr w:type="gramEnd"/>
      <w:r>
        <w:t xml:space="preserve">%) et </w:t>
      </w:r>
      <w:proofErr w:type="spellStart"/>
      <w:r w:rsidRPr="00830B80">
        <w:rPr>
          <w:i/>
          <w:iCs/>
        </w:rPr>
        <w:t>Endolimax</w:t>
      </w:r>
      <w:proofErr w:type="spellEnd"/>
      <w:r w:rsidR="00B80DA7" w:rsidRPr="00830B80">
        <w:rPr>
          <w:i/>
          <w:iCs/>
        </w:rPr>
        <w:t xml:space="preserve"> </w:t>
      </w:r>
      <w:proofErr w:type="spellStart"/>
      <w:r w:rsidRPr="00830B80">
        <w:rPr>
          <w:i/>
          <w:iCs/>
        </w:rPr>
        <w:t>nanus</w:t>
      </w:r>
      <w:proofErr w:type="spellEnd"/>
      <w:r>
        <w:t xml:space="preserve"> (n=4</w:t>
      </w:r>
      <w:r w:rsidR="00AC5111">
        <w:t>67</w:t>
      </w:r>
      <w:r>
        <w:t xml:space="preserve"> ; 1</w:t>
      </w:r>
      <w:r w:rsidR="00AC5111">
        <w:t>6,6</w:t>
      </w:r>
      <w:r>
        <w:t xml:space="preserve">%). </w:t>
      </w:r>
    </w:p>
    <w:p w:rsidR="00F63086" w:rsidRDefault="00F63086" w:rsidP="00B80DA7">
      <w:pPr>
        <w:jc w:val="both"/>
      </w:pPr>
      <w:r>
        <w:t>Le</w:t>
      </w:r>
      <w:r w:rsidR="00B80DA7">
        <w:t xml:space="preserve"> </w:t>
      </w:r>
      <w:proofErr w:type="spellStart"/>
      <w:r>
        <w:t>polyparasitisme</w:t>
      </w:r>
      <w:proofErr w:type="spellEnd"/>
      <w:r>
        <w:t xml:space="preserve"> était présent chez </w:t>
      </w:r>
      <w:r w:rsidR="00AC5111">
        <w:t>27</w:t>
      </w:r>
      <w:r>
        <w:t>,</w:t>
      </w:r>
      <w:r w:rsidR="00AC5111">
        <w:t>1</w:t>
      </w:r>
      <w:r>
        <w:t>% des cas positifs (n=753). Les principales</w:t>
      </w:r>
      <w:r w:rsidR="00B80DA7">
        <w:t xml:space="preserve"> </w:t>
      </w:r>
      <w:r>
        <w:t xml:space="preserve">associations étaient </w:t>
      </w:r>
      <w:proofErr w:type="spellStart"/>
      <w:r w:rsidRPr="00830B80">
        <w:rPr>
          <w:i/>
          <w:iCs/>
        </w:rPr>
        <w:t>B.hominis</w:t>
      </w:r>
      <w:proofErr w:type="spellEnd"/>
      <w:r w:rsidRPr="00830B80">
        <w:rPr>
          <w:i/>
          <w:iCs/>
        </w:rPr>
        <w:t xml:space="preserve"> + </w:t>
      </w:r>
      <w:proofErr w:type="spellStart"/>
      <w:r w:rsidRPr="00830B80">
        <w:rPr>
          <w:i/>
          <w:iCs/>
        </w:rPr>
        <w:t>D.fragilis</w:t>
      </w:r>
      <w:proofErr w:type="spellEnd"/>
      <w:r>
        <w:t xml:space="preserve"> (n= 2</w:t>
      </w:r>
      <w:r w:rsidR="00AC5111">
        <w:t>13</w:t>
      </w:r>
      <w:r>
        <w:t xml:space="preserve"> ; </w:t>
      </w:r>
      <w:r w:rsidR="00AC5111">
        <w:t xml:space="preserve">28,9 </w:t>
      </w:r>
      <w:r>
        <w:t xml:space="preserve">%) et </w:t>
      </w:r>
      <w:proofErr w:type="spellStart"/>
      <w:r w:rsidRPr="00830B80">
        <w:rPr>
          <w:i/>
          <w:iCs/>
        </w:rPr>
        <w:t>B.hominis</w:t>
      </w:r>
      <w:proofErr w:type="spellEnd"/>
      <w:r w:rsidRPr="00830B80">
        <w:rPr>
          <w:i/>
          <w:iCs/>
        </w:rPr>
        <w:t xml:space="preserve"> + </w:t>
      </w:r>
      <w:proofErr w:type="spellStart"/>
      <w:r w:rsidRPr="00830B80">
        <w:rPr>
          <w:i/>
          <w:iCs/>
        </w:rPr>
        <w:t>E.nanus</w:t>
      </w:r>
      <w:proofErr w:type="spellEnd"/>
      <w:r w:rsidR="00B80DA7">
        <w:t xml:space="preserve"> </w:t>
      </w:r>
      <w:r>
        <w:t>(n=1</w:t>
      </w:r>
      <w:r w:rsidR="00AC5111">
        <w:t>23</w:t>
      </w:r>
      <w:r>
        <w:t xml:space="preserve"> ; </w:t>
      </w:r>
      <w:r w:rsidR="00AC5111">
        <w:t xml:space="preserve">16,3 </w:t>
      </w:r>
      <w:r>
        <w:t>56%).</w:t>
      </w:r>
    </w:p>
    <w:p w:rsidR="00886B56" w:rsidRDefault="00F63086" w:rsidP="00B80DA7">
      <w:pPr>
        <w:jc w:val="both"/>
      </w:pPr>
      <w:r w:rsidRPr="00AC5111">
        <w:rPr>
          <w:b/>
          <w:bCs/>
        </w:rPr>
        <w:t>Conclusion :</w:t>
      </w:r>
      <w:r>
        <w:t xml:space="preserve"> Nous avons objectivé une tendance à la baisse des PI durant </w:t>
      </w:r>
      <w:r w:rsidR="00A35150">
        <w:t xml:space="preserve">les 13 dernières années </w:t>
      </w:r>
      <w:r>
        <w:t xml:space="preserve"> Ceci pourrait être expliqué par l’amélioration du niveau général d’hygiène, le</w:t>
      </w:r>
      <w:r w:rsidR="00B80DA7">
        <w:t xml:space="preserve"> </w:t>
      </w:r>
      <w:r>
        <w:t xml:space="preserve">progrès du niveau de vie et de l’accès aux antiparasitaires. </w:t>
      </w:r>
    </w:p>
    <w:p w:rsidR="000A1B0A" w:rsidRDefault="000A1B0A" w:rsidP="00B80DA7">
      <w:pPr>
        <w:jc w:val="both"/>
      </w:pPr>
    </w:p>
    <w:sectPr w:rsidR="000A1B0A" w:rsidSect="00AD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086"/>
    <w:rsid w:val="000A1B0A"/>
    <w:rsid w:val="002C61F6"/>
    <w:rsid w:val="00830B80"/>
    <w:rsid w:val="00886B56"/>
    <w:rsid w:val="00A35150"/>
    <w:rsid w:val="00AC5111"/>
    <w:rsid w:val="00AD162C"/>
    <w:rsid w:val="00B80DA7"/>
    <w:rsid w:val="00BC0EED"/>
    <w:rsid w:val="00D033D6"/>
    <w:rsid w:val="00F63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Utilisateur Windows</cp:lastModifiedBy>
  <cp:revision>2</cp:revision>
  <cp:lastPrinted>2021-06-19T10:04:00Z</cp:lastPrinted>
  <dcterms:created xsi:type="dcterms:W3CDTF">2021-06-19T11:15:00Z</dcterms:created>
  <dcterms:modified xsi:type="dcterms:W3CDTF">2021-06-19T11:15:00Z</dcterms:modified>
</cp:coreProperties>
</file>