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17" w:rsidRDefault="00D119B4" w:rsidP="008A4417">
      <w:pPr>
        <w:jc w:val="center"/>
        <w:rPr>
          <w:b/>
          <w:bCs/>
        </w:rPr>
      </w:pPr>
      <w:r w:rsidRPr="008A4417">
        <w:rPr>
          <w:b/>
          <w:bCs/>
        </w:rPr>
        <w:t xml:space="preserve">La maladie de </w:t>
      </w:r>
      <w:proofErr w:type="spellStart"/>
      <w:r w:rsidRPr="008A4417">
        <w:rPr>
          <w:b/>
          <w:bCs/>
        </w:rPr>
        <w:t>castel</w:t>
      </w:r>
      <w:r w:rsidR="008A4417">
        <w:rPr>
          <w:b/>
          <w:bCs/>
        </w:rPr>
        <w:t>man</w:t>
      </w:r>
      <w:proofErr w:type="spellEnd"/>
      <w:r w:rsidR="008A4417">
        <w:rPr>
          <w:b/>
          <w:bCs/>
        </w:rPr>
        <w:t xml:space="preserve"> compliquée de pneumopathie </w:t>
      </w:r>
      <w:r w:rsidR="008A4417" w:rsidRPr="008A4417">
        <w:rPr>
          <w:b/>
          <w:bCs/>
        </w:rPr>
        <w:t xml:space="preserve">à </w:t>
      </w:r>
      <w:proofErr w:type="spellStart"/>
      <w:r w:rsidR="008A4417" w:rsidRPr="008A4417">
        <w:rPr>
          <w:b/>
          <w:bCs/>
          <w:i/>
          <w:iCs/>
        </w:rPr>
        <w:t>pneumocystis</w:t>
      </w:r>
      <w:proofErr w:type="spellEnd"/>
      <w:r w:rsidR="008A4417" w:rsidRPr="008A4417">
        <w:rPr>
          <w:b/>
          <w:bCs/>
          <w:i/>
          <w:iCs/>
        </w:rPr>
        <w:t xml:space="preserve"> </w:t>
      </w:r>
      <w:proofErr w:type="spellStart"/>
      <w:r w:rsidR="008A4417" w:rsidRPr="008A4417">
        <w:rPr>
          <w:b/>
          <w:bCs/>
          <w:i/>
          <w:iCs/>
        </w:rPr>
        <w:t>jiroveci:</w:t>
      </w:r>
      <w:r w:rsidR="008A4417" w:rsidRPr="008A4417">
        <w:rPr>
          <w:b/>
          <w:bCs/>
        </w:rPr>
        <w:t>à</w:t>
      </w:r>
      <w:proofErr w:type="spellEnd"/>
      <w:r w:rsidR="008A4417" w:rsidRPr="008A4417">
        <w:rPr>
          <w:b/>
          <w:bCs/>
        </w:rPr>
        <w:t xml:space="preserve"> propos d'un cas</w:t>
      </w:r>
    </w:p>
    <w:p w:rsidR="00E07316" w:rsidRPr="00E07316" w:rsidRDefault="00E07316" w:rsidP="00E07316">
      <w:pPr>
        <w:rPr>
          <w:bCs/>
          <w:iCs/>
        </w:rPr>
      </w:pPr>
      <w:proofErr w:type="spellStart"/>
      <w:r w:rsidRPr="00E07316">
        <w:rPr>
          <w:bCs/>
          <w:iCs/>
        </w:rPr>
        <w:t>Derbel</w:t>
      </w:r>
      <w:proofErr w:type="spellEnd"/>
      <w:r w:rsidRPr="00E07316">
        <w:rPr>
          <w:bCs/>
          <w:iCs/>
        </w:rPr>
        <w:t xml:space="preserve"> </w:t>
      </w:r>
      <w:proofErr w:type="spellStart"/>
      <w:r w:rsidRPr="00E07316">
        <w:rPr>
          <w:bCs/>
          <w:iCs/>
        </w:rPr>
        <w:t>abir</w:t>
      </w:r>
      <w:proofErr w:type="spellEnd"/>
      <w:r w:rsidRPr="00E07316">
        <w:rPr>
          <w:bCs/>
          <w:iCs/>
        </w:rPr>
        <w:t xml:space="preserve">, </w:t>
      </w:r>
      <w:proofErr w:type="spellStart"/>
      <w:r w:rsidRPr="00E07316">
        <w:rPr>
          <w:bCs/>
          <w:iCs/>
        </w:rPr>
        <w:t>Frikha</w:t>
      </w:r>
      <w:proofErr w:type="spellEnd"/>
      <w:r w:rsidRPr="00E07316">
        <w:rPr>
          <w:bCs/>
          <w:iCs/>
        </w:rPr>
        <w:t xml:space="preserve"> </w:t>
      </w:r>
      <w:proofErr w:type="spellStart"/>
      <w:r w:rsidRPr="00E07316">
        <w:rPr>
          <w:bCs/>
          <w:iCs/>
        </w:rPr>
        <w:t>Imen</w:t>
      </w:r>
      <w:proofErr w:type="gramStart"/>
      <w:r w:rsidRPr="00E07316">
        <w:rPr>
          <w:bCs/>
          <w:iCs/>
        </w:rPr>
        <w:t>,Ben</w:t>
      </w:r>
      <w:proofErr w:type="spellEnd"/>
      <w:proofErr w:type="gramEnd"/>
      <w:r w:rsidRPr="00E07316">
        <w:rPr>
          <w:bCs/>
          <w:iCs/>
        </w:rPr>
        <w:t xml:space="preserve"> </w:t>
      </w:r>
      <w:proofErr w:type="spellStart"/>
      <w:r w:rsidRPr="00E07316">
        <w:rPr>
          <w:bCs/>
          <w:iCs/>
        </w:rPr>
        <w:t>Amor</w:t>
      </w:r>
      <w:proofErr w:type="spellEnd"/>
      <w:r w:rsidRPr="00E07316">
        <w:rPr>
          <w:bCs/>
          <w:iCs/>
        </w:rPr>
        <w:t xml:space="preserve"> </w:t>
      </w:r>
      <w:proofErr w:type="spellStart"/>
      <w:r w:rsidRPr="00E07316">
        <w:rPr>
          <w:bCs/>
          <w:iCs/>
        </w:rPr>
        <w:t>Imen</w:t>
      </w:r>
      <w:proofErr w:type="spellEnd"/>
      <w:r w:rsidRPr="00E07316">
        <w:rPr>
          <w:bCs/>
          <w:iCs/>
        </w:rPr>
        <w:t xml:space="preserve">, </w:t>
      </w:r>
      <w:proofErr w:type="spellStart"/>
      <w:r w:rsidRPr="00E07316">
        <w:rPr>
          <w:bCs/>
          <w:iCs/>
        </w:rPr>
        <w:t>Fakhfekh</w:t>
      </w:r>
      <w:proofErr w:type="spellEnd"/>
      <w:r w:rsidRPr="00E07316">
        <w:rPr>
          <w:bCs/>
          <w:iCs/>
        </w:rPr>
        <w:t xml:space="preserve"> </w:t>
      </w:r>
      <w:proofErr w:type="spellStart"/>
      <w:r w:rsidRPr="00E07316">
        <w:rPr>
          <w:bCs/>
          <w:iCs/>
        </w:rPr>
        <w:t>Yousra</w:t>
      </w:r>
      <w:proofErr w:type="spellEnd"/>
      <w:r w:rsidRPr="00E07316">
        <w:rPr>
          <w:bCs/>
          <w:iCs/>
        </w:rPr>
        <w:t xml:space="preserve">, </w:t>
      </w:r>
      <w:proofErr w:type="spellStart"/>
      <w:r w:rsidRPr="00E07316">
        <w:rPr>
          <w:bCs/>
          <w:iCs/>
        </w:rPr>
        <w:t>Kassar</w:t>
      </w:r>
      <w:proofErr w:type="spellEnd"/>
      <w:r w:rsidRPr="00E07316">
        <w:rPr>
          <w:bCs/>
          <w:iCs/>
        </w:rPr>
        <w:t xml:space="preserve"> </w:t>
      </w:r>
      <w:proofErr w:type="spellStart"/>
      <w:r w:rsidRPr="00E07316">
        <w:rPr>
          <w:bCs/>
          <w:iCs/>
        </w:rPr>
        <w:t>Olfa</w:t>
      </w:r>
      <w:proofErr w:type="spellEnd"/>
      <w:r w:rsidRPr="00E07316">
        <w:rPr>
          <w:bCs/>
          <w:iCs/>
        </w:rPr>
        <w:t xml:space="preserve">, </w:t>
      </w:r>
      <w:proofErr w:type="spellStart"/>
      <w:r w:rsidRPr="00E07316">
        <w:rPr>
          <w:bCs/>
          <w:iCs/>
        </w:rPr>
        <w:t>Mdhaffar</w:t>
      </w:r>
      <w:proofErr w:type="spellEnd"/>
      <w:r w:rsidRPr="00E07316">
        <w:rPr>
          <w:bCs/>
          <w:iCs/>
        </w:rPr>
        <w:t xml:space="preserve"> </w:t>
      </w:r>
      <w:proofErr w:type="spellStart"/>
      <w:r w:rsidRPr="00E07316">
        <w:rPr>
          <w:bCs/>
          <w:iCs/>
        </w:rPr>
        <w:t>Moez</w:t>
      </w:r>
      <w:proofErr w:type="spellEnd"/>
      <w:r w:rsidRPr="00E07316">
        <w:rPr>
          <w:bCs/>
          <w:iCs/>
        </w:rPr>
        <w:t xml:space="preserve">, </w:t>
      </w:r>
      <w:proofErr w:type="spellStart"/>
      <w:r w:rsidRPr="00E07316">
        <w:rPr>
          <w:bCs/>
          <w:iCs/>
        </w:rPr>
        <w:t>Hdiji</w:t>
      </w:r>
      <w:proofErr w:type="spellEnd"/>
      <w:r w:rsidRPr="00E07316">
        <w:rPr>
          <w:bCs/>
          <w:iCs/>
        </w:rPr>
        <w:t xml:space="preserve"> Sondes, </w:t>
      </w:r>
      <w:proofErr w:type="spellStart"/>
      <w:r w:rsidRPr="00E07316">
        <w:rPr>
          <w:bCs/>
          <w:iCs/>
        </w:rPr>
        <w:t>Elloumi</w:t>
      </w:r>
      <w:proofErr w:type="spellEnd"/>
      <w:r w:rsidRPr="00E07316">
        <w:rPr>
          <w:bCs/>
          <w:iCs/>
        </w:rPr>
        <w:t xml:space="preserve"> </w:t>
      </w:r>
      <w:proofErr w:type="spellStart"/>
      <w:r w:rsidRPr="00E07316">
        <w:rPr>
          <w:bCs/>
          <w:iCs/>
        </w:rPr>
        <w:t>Moez</w:t>
      </w:r>
      <w:proofErr w:type="spellEnd"/>
    </w:p>
    <w:p w:rsidR="008A4417" w:rsidRPr="008A4417" w:rsidRDefault="008A4417" w:rsidP="008A4417">
      <w:pPr>
        <w:rPr>
          <w:b/>
          <w:bCs/>
        </w:rPr>
      </w:pPr>
      <w:r w:rsidRPr="008A4417">
        <w:rPr>
          <w:b/>
          <w:bCs/>
        </w:rPr>
        <w:t>Introduction :</w:t>
      </w:r>
    </w:p>
    <w:p w:rsidR="008A4417" w:rsidRDefault="008A4417" w:rsidP="004F06CA">
      <w:pPr>
        <w:rPr>
          <w:i/>
          <w:iCs/>
        </w:rPr>
      </w:pPr>
      <w:r>
        <w:t xml:space="preserve">La maladie de </w:t>
      </w:r>
      <w:proofErr w:type="spellStart"/>
      <w:r>
        <w:t>castelman</w:t>
      </w:r>
      <w:proofErr w:type="spellEnd"/>
      <w:r>
        <w:t xml:space="preserve"> est une entité clinicobiologique correspondant à une prolifération </w:t>
      </w:r>
      <w:r w:rsidR="004F06CA">
        <w:t>lymphoïde</w:t>
      </w:r>
      <w:r>
        <w:t xml:space="preserve"> angiofolliculaire se présentant sous 2 formes distinctes : la forme mono centrique et la forme multi </w:t>
      </w:r>
      <w:r w:rsidR="00840DD2">
        <w:t xml:space="preserve">centrique. </w:t>
      </w:r>
      <w:r>
        <w:t>Le diagnostic est posé sur des arguments</w:t>
      </w:r>
      <w:r w:rsidR="004F06CA">
        <w:t xml:space="preserve"> cliniques et biologiques et il est </w:t>
      </w:r>
      <w:r>
        <w:t>confirm</w:t>
      </w:r>
      <w:r w:rsidR="004F06CA">
        <w:t xml:space="preserve">é par </w:t>
      </w:r>
      <w:r w:rsidR="00840DD2">
        <w:t>l’anatomopathologie</w:t>
      </w:r>
      <w:r>
        <w:t>. Nous rapportons le cas</w:t>
      </w:r>
      <w:r w:rsidR="004F06CA">
        <w:t xml:space="preserve"> d'une femme </w:t>
      </w:r>
      <w:r>
        <w:t xml:space="preserve"> atteinte de maladie</w:t>
      </w:r>
      <w:r w:rsidR="000C1F97">
        <w:t xml:space="preserve"> de castelman compliquée d'infection pulmonaire à </w:t>
      </w:r>
      <w:r w:rsidR="000C1F97" w:rsidRPr="000C1F97">
        <w:rPr>
          <w:i/>
          <w:iCs/>
        </w:rPr>
        <w:t>pneumocystis jiroveci.</w:t>
      </w:r>
    </w:p>
    <w:p w:rsidR="000C1F97" w:rsidRPr="006069F8" w:rsidRDefault="000C1F97" w:rsidP="008A4417">
      <w:pPr>
        <w:rPr>
          <w:b/>
          <w:bCs/>
        </w:rPr>
      </w:pPr>
      <w:r w:rsidRPr="006069F8">
        <w:rPr>
          <w:b/>
          <w:bCs/>
        </w:rPr>
        <w:t>Observation:</w:t>
      </w:r>
    </w:p>
    <w:p w:rsidR="00F645C3" w:rsidRPr="000C1F97" w:rsidRDefault="00840DD2" w:rsidP="00F645C3">
      <w:r>
        <w:t>I</w:t>
      </w:r>
      <w:r w:rsidR="000C1F97">
        <w:t xml:space="preserve">l s'agit d'une femme </w:t>
      </w:r>
      <w:r w:rsidR="004F06CA">
        <w:t>âgée</w:t>
      </w:r>
      <w:r w:rsidR="000C1F97">
        <w:t xml:space="preserve"> de 52a</w:t>
      </w:r>
      <w:r w:rsidR="001B5501">
        <w:t>ns qui était suivie</w:t>
      </w:r>
      <w:r w:rsidR="000C1F97">
        <w:t xml:space="preserve"> au service d'hématologie</w:t>
      </w:r>
      <w:r>
        <w:t xml:space="preserve"> de Sfax </w:t>
      </w:r>
      <w:r w:rsidR="000C1F97">
        <w:t xml:space="preserve"> pour prise en charge d'une  maladie de castelman dans sa forme multicentrique .Elle</w:t>
      </w:r>
      <w:r w:rsidR="00F71A45">
        <w:t xml:space="preserve"> avait cliniquement </w:t>
      </w:r>
      <w:r w:rsidR="000C1F97">
        <w:t xml:space="preserve"> </w:t>
      </w:r>
      <w:r w:rsidR="00F71A45">
        <w:t>un syndrome poly</w:t>
      </w:r>
      <w:r w:rsidR="004F06CA">
        <w:t xml:space="preserve"> </w:t>
      </w:r>
      <w:proofErr w:type="spellStart"/>
      <w:r w:rsidR="00F71A45">
        <w:t>gonglionnaire</w:t>
      </w:r>
      <w:proofErr w:type="spellEnd"/>
      <w:r w:rsidR="00F71A45">
        <w:t xml:space="preserve"> fait d'adénopathies cervicales ,axillaires et inguinales évoluant dans un contexte fébrile et</w:t>
      </w:r>
      <w:r>
        <w:t xml:space="preserve"> d'altération de l'état général</w:t>
      </w:r>
      <w:r w:rsidR="001B5501">
        <w:t xml:space="preserve"> </w:t>
      </w:r>
      <w:r w:rsidR="00F71A45">
        <w:t xml:space="preserve">associé à une éruption </w:t>
      </w:r>
      <w:r w:rsidR="00F645C3">
        <w:t>cutané maculeuse fugace .</w:t>
      </w:r>
      <w:r>
        <w:t>La biopsie gonglionnaire avait confirmé le diagnostic. Biologiquement,</w:t>
      </w:r>
      <w:r w:rsidR="00F645C3">
        <w:t xml:space="preserve"> </w:t>
      </w:r>
      <w:r w:rsidR="00FF3B1D">
        <w:t xml:space="preserve">elle avait </w:t>
      </w:r>
      <w:proofErr w:type="spellStart"/>
      <w:r w:rsidR="00FF3B1D">
        <w:t>un</w:t>
      </w:r>
      <w:r w:rsidR="00F645C3">
        <w:t>ne</w:t>
      </w:r>
      <w:proofErr w:type="spellEnd"/>
      <w:r w:rsidR="00F645C3">
        <w:t xml:space="preserve"> </w:t>
      </w:r>
      <w:proofErr w:type="spellStart"/>
      <w:r w:rsidR="00F645C3">
        <w:t>leuco</w:t>
      </w:r>
      <w:r w:rsidR="00C30F02">
        <w:t>neutropénie</w:t>
      </w:r>
      <w:proofErr w:type="spellEnd"/>
      <w:r w:rsidR="00C30F02">
        <w:t xml:space="preserve"> isolée</w:t>
      </w:r>
      <w:r w:rsidR="001574D7">
        <w:t xml:space="preserve"> sans anémie ni thrombopénie </w:t>
      </w:r>
      <w:r w:rsidR="00947F9E">
        <w:t>NFS</w:t>
      </w:r>
      <w:proofErr w:type="gramStart"/>
      <w:r w:rsidR="00947F9E">
        <w:t>:</w:t>
      </w:r>
      <w:r w:rsidR="00C30F02">
        <w:t xml:space="preserve"> </w:t>
      </w:r>
      <w:r w:rsidR="00F645C3">
        <w:t xml:space="preserve"> GB</w:t>
      </w:r>
      <w:r w:rsidR="00C30F02">
        <w:t>:3450</w:t>
      </w:r>
      <w:proofErr w:type="gramEnd"/>
      <w:r w:rsidR="00C30F02">
        <w:t xml:space="preserve"> PNN1320 HB:12.8 plaquettes à 160000.</w:t>
      </w:r>
      <w:r w:rsidR="00947F9E">
        <w:t xml:space="preserve">Elle n'avait pas de syndrome </w:t>
      </w:r>
      <w:proofErr w:type="spellStart"/>
      <w:r w:rsidR="00947F9E">
        <w:t>inflamatoire</w:t>
      </w:r>
      <w:proofErr w:type="spellEnd"/>
      <w:r w:rsidR="00947F9E">
        <w:t xml:space="preserve"> biologique et </w:t>
      </w:r>
      <w:r w:rsidR="00C30F02">
        <w:t>la vitesse de sédimentation était normale à 30</w:t>
      </w:r>
      <w:r w:rsidR="004F06CA">
        <w:t xml:space="preserve"> à la première </w:t>
      </w:r>
      <w:r w:rsidR="00FF3B1D">
        <w:t>heure. Et</w:t>
      </w:r>
      <w:r w:rsidR="00C30F02">
        <w:t xml:space="preserve"> l'</w:t>
      </w:r>
      <w:r w:rsidR="00FF3B1D">
        <w:t>électrophorèse</w:t>
      </w:r>
      <w:r w:rsidR="00C30F02">
        <w:t xml:space="preserve"> des </w:t>
      </w:r>
      <w:r w:rsidR="00FF3B1D">
        <w:t>protéines</w:t>
      </w:r>
      <w:r w:rsidR="00C30F02">
        <w:t xml:space="preserve"> plasmatiques a</w:t>
      </w:r>
      <w:r w:rsidR="00FF3B1D">
        <w:t xml:space="preserve">vait </w:t>
      </w:r>
      <w:r w:rsidR="00C30F02">
        <w:t xml:space="preserve"> montrée  une </w:t>
      </w:r>
      <w:r w:rsidR="00FF3B1D">
        <w:t>hyper gamma</w:t>
      </w:r>
      <w:r w:rsidR="00C30F02">
        <w:t xml:space="preserve"> </w:t>
      </w:r>
      <w:r w:rsidR="00FF3B1D">
        <w:t>globulin émie</w:t>
      </w:r>
      <w:r w:rsidR="00C30F02">
        <w:t xml:space="preserve"> </w:t>
      </w:r>
      <w:r w:rsidR="00F74347">
        <w:t>à</w:t>
      </w:r>
      <w:r w:rsidR="00947F9E">
        <w:t xml:space="preserve"> 16 g/L.</w:t>
      </w:r>
      <w:r w:rsidR="00C30F02">
        <w:t xml:space="preserve"> </w:t>
      </w:r>
      <w:r w:rsidR="00F645C3">
        <w:t xml:space="preserve"> </w:t>
      </w:r>
      <w:r w:rsidR="00FF3B1D">
        <w:t>L</w:t>
      </w:r>
      <w:r w:rsidR="004F06CA">
        <w:t>a protéinurie de 24heures était positive à 0.5g/24h.</w:t>
      </w:r>
    </w:p>
    <w:p w:rsidR="000C1F97" w:rsidRDefault="00FF3B1D" w:rsidP="006069F8">
      <w:r>
        <w:t>La</w:t>
      </w:r>
      <w:r w:rsidR="00F74347">
        <w:t xml:space="preserve"> TDM</w:t>
      </w:r>
      <w:r w:rsidR="006069F8">
        <w:t xml:space="preserve"> </w:t>
      </w:r>
      <w:proofErr w:type="spellStart"/>
      <w:r w:rsidR="00F74347">
        <w:t>thoracoabdominopelvienne</w:t>
      </w:r>
      <w:proofErr w:type="spellEnd"/>
      <w:r>
        <w:t xml:space="preserve"> </w:t>
      </w:r>
      <w:r w:rsidR="00F74347">
        <w:t xml:space="preserve"> faite</w:t>
      </w:r>
      <w:r w:rsidR="004F06CA" w:rsidRPr="004F06CA">
        <w:t xml:space="preserve"> </w:t>
      </w:r>
      <w:r w:rsidR="004F06CA">
        <w:t>dans le cadre du bilan d'extension de sa maladie</w:t>
      </w:r>
      <w:r w:rsidR="00F74347">
        <w:t xml:space="preserve"> montrant  des adénopathies périphériques cervical</w:t>
      </w:r>
      <w:r w:rsidR="006069F8">
        <w:t>es axillaires et inguinales</w:t>
      </w:r>
      <w:r w:rsidR="004F06CA">
        <w:t xml:space="preserve"> </w:t>
      </w:r>
      <w:r>
        <w:t>déjà</w:t>
      </w:r>
      <w:r w:rsidR="004F06CA">
        <w:t xml:space="preserve"> </w:t>
      </w:r>
      <w:proofErr w:type="gramStart"/>
      <w:r w:rsidR="004F06CA">
        <w:t>cités .</w:t>
      </w:r>
      <w:proofErr w:type="gramEnd"/>
      <w:r w:rsidR="004F06CA">
        <w:t xml:space="preserve"> P</w:t>
      </w:r>
      <w:r w:rsidR="006069F8">
        <w:t xml:space="preserve">ar Ailleurs la biopsie ostéomédullaire était </w:t>
      </w:r>
      <w:r>
        <w:t>normale.</w:t>
      </w:r>
    </w:p>
    <w:p w:rsidR="00081737" w:rsidRDefault="00FF3B1D" w:rsidP="009D17F0">
      <w:r>
        <w:t>L</w:t>
      </w:r>
      <w:r w:rsidR="00081737">
        <w:t xml:space="preserve">a patiente a reçu une corticothérapie à forte dose pendant 2mois mais sans amélioration clinique ni biologique </w:t>
      </w:r>
      <w:r w:rsidR="000809B1">
        <w:t>.La conduite était d'entamer une chimiothérapie de type RCHOP (</w:t>
      </w:r>
      <w:proofErr w:type="spellStart"/>
      <w:r w:rsidR="000809B1">
        <w:t>Rituximab</w:t>
      </w:r>
      <w:proofErr w:type="spellEnd"/>
      <w:r w:rsidR="000809B1">
        <w:t>,</w:t>
      </w:r>
      <w:r w:rsidR="007E7B56">
        <w:t xml:space="preserve"> </w:t>
      </w:r>
      <w:proofErr w:type="spellStart"/>
      <w:r w:rsidR="000809B1">
        <w:t>Cyclophosphamide</w:t>
      </w:r>
      <w:proofErr w:type="spellEnd"/>
      <w:r w:rsidR="000809B1">
        <w:t>,</w:t>
      </w:r>
      <w:r w:rsidR="007E7B56">
        <w:t xml:space="preserve"> </w:t>
      </w:r>
      <w:proofErr w:type="spellStart"/>
      <w:r w:rsidR="000809B1">
        <w:t>Doxorubicin</w:t>
      </w:r>
      <w:proofErr w:type="spellEnd"/>
      <w:r w:rsidR="000809B1">
        <w:t>,</w:t>
      </w:r>
      <w:r w:rsidR="007E7B56">
        <w:t xml:space="preserve"> </w:t>
      </w:r>
      <w:r w:rsidR="000809B1">
        <w:t xml:space="preserve">Vincristine  et </w:t>
      </w:r>
      <w:proofErr w:type="spellStart"/>
      <w:r w:rsidR="000809B1">
        <w:t>Prednisone</w:t>
      </w:r>
      <w:proofErr w:type="spellEnd"/>
      <w:r w:rsidR="000809B1">
        <w:t>)</w:t>
      </w:r>
      <w:r w:rsidR="003D0FF7">
        <w:t>. Le sixième jour de la</w:t>
      </w:r>
      <w:r w:rsidR="007E7B56">
        <w:t xml:space="preserve"> </w:t>
      </w:r>
      <w:r>
        <w:t>cure,</w:t>
      </w:r>
      <w:r w:rsidR="007E7B56">
        <w:t xml:space="preserve"> L'évolution était marquée par l'apparition d'une détresse respiratoire  aigue faite de polypnée </w:t>
      </w:r>
      <w:r w:rsidR="00AE26A4">
        <w:t xml:space="preserve">évoluant dans un contexte </w:t>
      </w:r>
      <w:r>
        <w:t>fébrile avec</w:t>
      </w:r>
      <w:r w:rsidR="009D17F0">
        <w:t xml:space="preserve"> </w:t>
      </w:r>
      <w:r>
        <w:t>dé saturation</w:t>
      </w:r>
      <w:r w:rsidR="009D17F0">
        <w:t xml:space="preserve"> à</w:t>
      </w:r>
      <w:r w:rsidR="00AE26A4">
        <w:t xml:space="preserve"> l'air ambiant et hypoxie</w:t>
      </w:r>
      <w:r w:rsidR="009D17F0">
        <w:t xml:space="preserve"> à 40 mm hg</w:t>
      </w:r>
      <w:r w:rsidR="00AE26A4">
        <w:t xml:space="preserve"> . la radiographie thoracique a montrée une asymétrie de la transpar</w:t>
      </w:r>
      <w:r w:rsidR="009D17F0">
        <w:t>ence des 2 champs pulmonaires .L</w:t>
      </w:r>
      <w:r w:rsidR="00AE26A4">
        <w:t xml:space="preserve">e scanner thoracique a révélé </w:t>
      </w:r>
      <w:r w:rsidR="00995E20">
        <w:t>de multiples plages d'hyperdensité en verre dépoli associées à un épaississement septal ,des micronodules sous pleuraux et des adénomégalies  médiastinales  .L'</w:t>
      </w:r>
      <w:r w:rsidR="009D17F0">
        <w:t>enquête</w:t>
      </w:r>
      <w:r w:rsidR="00995E20">
        <w:t xml:space="preserve"> microbiologique basée sur la PCR de </w:t>
      </w:r>
      <w:proofErr w:type="spellStart"/>
      <w:r w:rsidR="00995E20">
        <w:t>pneumocystis</w:t>
      </w:r>
      <w:proofErr w:type="spellEnd"/>
      <w:r w:rsidR="00995E20">
        <w:t xml:space="preserve"> </w:t>
      </w:r>
      <w:proofErr w:type="spellStart"/>
      <w:r w:rsidR="00995E20">
        <w:t>jiroveci</w:t>
      </w:r>
      <w:proofErr w:type="spellEnd"/>
      <w:r w:rsidR="00995E20">
        <w:t xml:space="preserve"> dans les crachats et dans le sang était positive .le diagnostic de pneumocystose</w:t>
      </w:r>
      <w:r w:rsidR="009D17F0">
        <w:t xml:space="preserve"> pulmonaire</w:t>
      </w:r>
      <w:r w:rsidR="00995E20">
        <w:t xml:space="preserve"> était alors retenu et elle a été traitée par le </w:t>
      </w:r>
      <w:proofErr w:type="spellStart"/>
      <w:r w:rsidR="00995E20">
        <w:t>bactrim</w:t>
      </w:r>
      <w:proofErr w:type="spellEnd"/>
      <w:r w:rsidR="009D17F0">
        <w:t xml:space="preserve"> par voie intraveineuse</w:t>
      </w:r>
      <w:r w:rsidR="00995E20">
        <w:t xml:space="preserve"> .Cependant l'évolution était défavorable avec dégradation rapide  de son état respiratoire jusqu'a le </w:t>
      </w:r>
      <w:r w:rsidR="009D17F0">
        <w:t>décès</w:t>
      </w:r>
      <w:r w:rsidR="00995E20">
        <w:t>.</w:t>
      </w:r>
    </w:p>
    <w:p w:rsidR="00520111" w:rsidRPr="00520111" w:rsidRDefault="00520111" w:rsidP="009D17F0">
      <w:pPr>
        <w:rPr>
          <w:b/>
        </w:rPr>
      </w:pPr>
      <w:r w:rsidRPr="00520111">
        <w:rPr>
          <w:b/>
        </w:rPr>
        <w:t>Conclusion :</w:t>
      </w:r>
    </w:p>
    <w:p w:rsidR="006069F8" w:rsidRDefault="00520111" w:rsidP="00A73C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La pneumocystose est une infection opportuniste plus fréquente</w:t>
      </w:r>
      <w:r w:rsidR="00A73CBA">
        <w:t xml:space="preserve"> chez les</w:t>
      </w:r>
      <w:r>
        <w:t xml:space="preserve"> sujets atteints par le VIH, en dehors de ce contexte</w:t>
      </w:r>
      <w:r w:rsidR="00A73CBA">
        <w:t>,</w:t>
      </w:r>
      <w:r>
        <w:t xml:space="preserve"> les maladies de système ainsi que les hémopathies malignes représentent la seconde cause d’infection à </w:t>
      </w:r>
      <w:proofErr w:type="spellStart"/>
      <w:r>
        <w:t>pneumocystis</w:t>
      </w:r>
      <w:proofErr w:type="spellEnd"/>
      <w:r>
        <w:t xml:space="preserve"> </w:t>
      </w:r>
      <w:proofErr w:type="spellStart"/>
      <w:r w:rsidR="008D684B">
        <w:t>jiroveci</w:t>
      </w:r>
      <w:proofErr w:type="spellEnd"/>
      <w:r w:rsidR="008D684B">
        <w:t xml:space="preserve">. </w:t>
      </w:r>
      <w:r w:rsidRPr="008D684B">
        <w:rPr>
          <w:rFonts w:cstheme="minorHAnsi"/>
        </w:rPr>
        <w:t>La fréquence de la pneumocystose au cours des maladies systémiques</w:t>
      </w:r>
      <w:r w:rsidR="008D684B" w:rsidRPr="008D684B">
        <w:rPr>
          <w:rFonts w:cstheme="minorHAnsi"/>
        </w:rPr>
        <w:t xml:space="preserve"> varie de 0,2 </w:t>
      </w:r>
      <w:r w:rsidRPr="008D684B">
        <w:rPr>
          <w:rFonts w:cstheme="minorHAnsi"/>
        </w:rPr>
        <w:t xml:space="preserve"> à 12 % </w:t>
      </w:r>
      <w:r w:rsidR="008D684B" w:rsidRPr="008D684B">
        <w:rPr>
          <w:rFonts w:cstheme="minorHAnsi"/>
        </w:rPr>
        <w:t>en l’absence de prophylaxie. L’aspect clinique et radiologique de la pneumocystose chez les patients non infectés par le VIH est</w:t>
      </w:r>
      <w:r w:rsidR="008D684B">
        <w:rPr>
          <w:rFonts w:cstheme="minorHAnsi"/>
        </w:rPr>
        <w:t xml:space="preserve"> souvent trompeur</w:t>
      </w:r>
      <w:r w:rsidR="008D684B" w:rsidRPr="00A73CBA">
        <w:rPr>
          <w:rFonts w:cstheme="minorHAnsi"/>
        </w:rPr>
        <w:t>.</w:t>
      </w:r>
      <w:r w:rsidR="00A73CBA" w:rsidRPr="00A73CBA">
        <w:rPr>
          <w:rFonts w:cstheme="minorHAnsi"/>
        </w:rPr>
        <w:t xml:space="preserve"> La </w:t>
      </w:r>
      <w:r w:rsidR="00A73CBA" w:rsidRPr="00A73CBA">
        <w:rPr>
          <w:rFonts w:cstheme="minorHAnsi"/>
        </w:rPr>
        <w:lastRenderedPageBreak/>
        <w:t>mortalité de la pneumocystose au cours des maladies systémiques est lourde : 40 % en moyenne et jusqu’à 60 %</w:t>
      </w:r>
      <w:r w:rsidR="00A73CBA">
        <w:rPr>
          <w:rFonts w:cstheme="minorHAnsi"/>
        </w:rPr>
        <w:t>.L’utilisation de la corticothérapie à forte dose est le seul facteur de risque clairement établi mais plusieurs  autres situations à risque pourraient maj</w:t>
      </w:r>
      <w:r w:rsidR="00E826AA">
        <w:rPr>
          <w:rFonts w:cstheme="minorHAnsi"/>
        </w:rPr>
        <w:t xml:space="preserve">orer le risque de pneumocystose </w:t>
      </w:r>
    </w:p>
    <w:p w:rsidR="000D2ACA" w:rsidRDefault="000D2ACA" w:rsidP="00A73C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D2ACA">
        <w:rPr>
          <w:rFonts w:cstheme="minorHAnsi"/>
          <w:b/>
        </w:rPr>
        <w:t>Discussion</w:t>
      </w:r>
      <w:r>
        <w:rPr>
          <w:rFonts w:cstheme="minorHAnsi"/>
        </w:rPr>
        <w:t> :</w:t>
      </w:r>
    </w:p>
    <w:p w:rsidR="000D2ACA" w:rsidRDefault="000D2ACA" w:rsidP="00A73CBA">
      <w:pPr>
        <w:autoSpaceDE w:val="0"/>
        <w:autoSpaceDN w:val="0"/>
        <w:adjustRightInd w:val="0"/>
        <w:spacing w:after="0" w:line="240" w:lineRule="auto"/>
        <w:rPr>
          <w:rFonts w:ascii="AdvP3D0FAF" w:hAnsi="AdvP3D0FAF" w:cs="AdvP3D0FAF"/>
          <w:sz w:val="17"/>
          <w:szCs w:val="17"/>
        </w:rPr>
      </w:pPr>
      <w:r>
        <w:rPr>
          <w:rFonts w:cstheme="minorHAnsi"/>
        </w:rPr>
        <w:t>Il n’existe pas de recommandations concernant la prophylaxie de la pneumocystose dan</w:t>
      </w:r>
      <w:r w:rsidR="00E826AA">
        <w:rPr>
          <w:rFonts w:cstheme="minorHAnsi"/>
        </w:rPr>
        <w:t xml:space="preserve">s les maladies de système et dans les hémopathies lymphoïdes </w:t>
      </w:r>
      <w:r>
        <w:rPr>
          <w:rFonts w:cstheme="minorHAnsi"/>
        </w:rPr>
        <w:t>.</w:t>
      </w:r>
      <w:r w:rsidR="00E826AA">
        <w:rPr>
          <w:rFonts w:cstheme="minorHAnsi"/>
        </w:rPr>
        <w:t>P</w:t>
      </w:r>
      <w:r>
        <w:rPr>
          <w:rFonts w:cstheme="minorHAnsi"/>
        </w:rPr>
        <w:t>ar ailleurs, La recommandation japonaise recommandait une prophylaxie basée su</w:t>
      </w:r>
      <w:r w:rsidRPr="008F0257">
        <w:rPr>
          <w:rFonts w:cstheme="minorHAnsi"/>
        </w:rPr>
        <w:t>r le cotrimoxazole dans des situations bien précises telque la corticothérapie forte dos</w:t>
      </w:r>
      <w:r w:rsidR="008F0257" w:rsidRPr="008F0257">
        <w:rPr>
          <w:rFonts w:cstheme="minorHAnsi"/>
        </w:rPr>
        <w:t xml:space="preserve">e de durée prolongée </w:t>
      </w:r>
      <w:r w:rsidRPr="008F0257">
        <w:rPr>
          <w:rFonts w:cstheme="minorHAnsi"/>
        </w:rPr>
        <w:t xml:space="preserve"> associée à un immunosuppresseur ou </w:t>
      </w:r>
      <w:r w:rsidR="008F0257" w:rsidRPr="008F0257">
        <w:rPr>
          <w:rFonts w:cstheme="minorHAnsi"/>
        </w:rPr>
        <w:t xml:space="preserve">à </w:t>
      </w:r>
      <w:r w:rsidRPr="008F0257">
        <w:rPr>
          <w:rFonts w:cstheme="minorHAnsi"/>
        </w:rPr>
        <w:t>une lymphopénie</w:t>
      </w:r>
      <w:r w:rsidR="008F0257" w:rsidRPr="008F0257">
        <w:rPr>
          <w:rFonts w:cstheme="minorHAnsi"/>
        </w:rPr>
        <w:t xml:space="preserve"> majeure &lt;600 ou âge avancé ou une dénutrition importante</w:t>
      </w:r>
      <w:r w:rsidR="008F0257">
        <w:rPr>
          <w:rFonts w:ascii="AdvP3D0FAF" w:hAnsi="AdvP3D0FAF" w:cs="AdvP3D0FAF"/>
          <w:sz w:val="17"/>
          <w:szCs w:val="17"/>
        </w:rPr>
        <w:t>.</w:t>
      </w:r>
    </w:p>
    <w:p w:rsidR="008F0257" w:rsidRPr="008F0257" w:rsidRDefault="00E826AA" w:rsidP="00A73C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Les autres situation </w:t>
      </w:r>
      <w:r w:rsidR="008F0257">
        <w:rPr>
          <w:rFonts w:cstheme="minorHAnsi"/>
        </w:rPr>
        <w:t xml:space="preserve">à risque nécessitant une antibioprophylaxie ne sont pas bien cernées et nécessitent la discussion cas par </w:t>
      </w:r>
      <w:r w:rsidR="00220254">
        <w:rPr>
          <w:rFonts w:cstheme="minorHAnsi"/>
        </w:rPr>
        <w:t>cas.</w:t>
      </w:r>
    </w:p>
    <w:p w:rsidR="008F0257" w:rsidRDefault="008F0257" w:rsidP="00A73C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D2ACA" w:rsidRPr="00A73CBA" w:rsidRDefault="000D2ACA" w:rsidP="00A73C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0D2ACA" w:rsidRPr="00A73CBA" w:rsidSect="0030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3D0FA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317D2"/>
    <w:rsid w:val="000809B1"/>
    <w:rsid w:val="00081737"/>
    <w:rsid w:val="000C1F97"/>
    <w:rsid w:val="000D2503"/>
    <w:rsid w:val="000D2ACA"/>
    <w:rsid w:val="001548A0"/>
    <w:rsid w:val="001574D7"/>
    <w:rsid w:val="001B5501"/>
    <w:rsid w:val="00220254"/>
    <w:rsid w:val="00307F26"/>
    <w:rsid w:val="003924B6"/>
    <w:rsid w:val="003D0FF7"/>
    <w:rsid w:val="00464779"/>
    <w:rsid w:val="004F06CA"/>
    <w:rsid w:val="00520111"/>
    <w:rsid w:val="006069F8"/>
    <w:rsid w:val="0065776F"/>
    <w:rsid w:val="007E7B56"/>
    <w:rsid w:val="00840DD2"/>
    <w:rsid w:val="008A4417"/>
    <w:rsid w:val="008D684B"/>
    <w:rsid w:val="008F0257"/>
    <w:rsid w:val="00947F9E"/>
    <w:rsid w:val="00995E20"/>
    <w:rsid w:val="009D17F0"/>
    <w:rsid w:val="00A73CBA"/>
    <w:rsid w:val="00AE26A4"/>
    <w:rsid w:val="00AF336C"/>
    <w:rsid w:val="00C30F02"/>
    <w:rsid w:val="00CB35F0"/>
    <w:rsid w:val="00D119B4"/>
    <w:rsid w:val="00E07316"/>
    <w:rsid w:val="00E826AA"/>
    <w:rsid w:val="00F317D2"/>
    <w:rsid w:val="00F645C3"/>
    <w:rsid w:val="00F71A45"/>
    <w:rsid w:val="00F74347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omar</cp:lastModifiedBy>
  <cp:revision>3</cp:revision>
  <cp:lastPrinted>2018-09-15T20:54:00Z</cp:lastPrinted>
  <dcterms:created xsi:type="dcterms:W3CDTF">2018-12-10T20:27:00Z</dcterms:created>
  <dcterms:modified xsi:type="dcterms:W3CDTF">2019-01-10T21:18:00Z</dcterms:modified>
</cp:coreProperties>
</file>