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C4" w:rsidRPr="00BA558D" w:rsidRDefault="00BA558D" w:rsidP="00BA558D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>Tableau. Sensibilité et spécificité et des différentes méthodes phénotypiques utilisées.</w:t>
      </w:r>
    </w:p>
    <w:tbl>
      <w:tblPr>
        <w:tblW w:w="9145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84"/>
        <w:gridCol w:w="709"/>
        <w:gridCol w:w="160"/>
        <w:gridCol w:w="283"/>
        <w:gridCol w:w="709"/>
        <w:gridCol w:w="283"/>
        <w:gridCol w:w="709"/>
        <w:gridCol w:w="284"/>
        <w:gridCol w:w="708"/>
        <w:gridCol w:w="160"/>
        <w:gridCol w:w="284"/>
        <w:gridCol w:w="709"/>
        <w:gridCol w:w="160"/>
        <w:gridCol w:w="283"/>
        <w:gridCol w:w="709"/>
        <w:gridCol w:w="160"/>
        <w:gridCol w:w="283"/>
        <w:gridCol w:w="709"/>
        <w:gridCol w:w="284"/>
        <w:gridCol w:w="708"/>
      </w:tblGrid>
      <w:tr w:rsidR="00BA558D" w:rsidRPr="00D57E9D" w:rsidTr="00065E6F">
        <w:trPr>
          <w:trHeight w:val="30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  <w:t>« </w:t>
            </w:r>
            <w:proofErr w:type="spellStart"/>
            <w:r w:rsidRPr="00D57E9D"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  <w:t>Hodge</w:t>
            </w:r>
            <w:proofErr w:type="spellEnd"/>
            <w:r w:rsidRPr="00D57E9D"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  <w:t xml:space="preserve"> test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  <w:t> »</w:t>
            </w:r>
          </w:p>
        </w:tc>
        <w:tc>
          <w:tcPr>
            <w:tcW w:w="160" w:type="dxa"/>
            <w:vMerge w:val="restart"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297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  <w:t>« </w:t>
            </w:r>
            <w:proofErr w:type="spellStart"/>
            <w:r w:rsidRPr="00D57E9D"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  <w:t>Carbapenem</w:t>
            </w:r>
            <w:proofErr w:type="spellEnd"/>
            <w:r w:rsidRPr="00D57E9D"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  <w:t xml:space="preserve"> Inactivation </w:t>
            </w:r>
            <w:proofErr w:type="spellStart"/>
            <w:r w:rsidRPr="00D57E9D"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  <w:t>Method</w:t>
            </w:r>
            <w:proofErr w:type="spellEnd"/>
            <w:r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  <w:t> »</w:t>
            </w:r>
            <w:r w:rsidRPr="00D57E9D"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  <w:t xml:space="preserve"> (CIM)</w:t>
            </w:r>
          </w:p>
        </w:tc>
        <w:tc>
          <w:tcPr>
            <w:tcW w:w="160" w:type="dxa"/>
            <w:vMerge w:val="restart"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  <w:t xml:space="preserve">Disques de </w:t>
            </w:r>
            <w:proofErr w:type="spellStart"/>
            <w:r w:rsidRPr="00D57E9D"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  <w:t>témocilline</w:t>
            </w:r>
            <w:proofErr w:type="spellEnd"/>
            <w:r w:rsidRPr="00D57E9D"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60" w:type="dxa"/>
            <w:vMerge w:val="restart"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  <w:t>Test à l'EDTA</w:t>
            </w:r>
          </w:p>
        </w:tc>
        <w:tc>
          <w:tcPr>
            <w:tcW w:w="160" w:type="dxa"/>
            <w:vMerge w:val="restart"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  <w:t xml:space="preserve">Disques </w:t>
            </w:r>
            <w:proofErr w:type="spellStart"/>
            <w:r w:rsidRPr="00D57E9D"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  <w:t>Rosco</w:t>
            </w:r>
            <w:proofErr w:type="spellEnd"/>
            <w:r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57E9D"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  <w:t>Diagnostica</w:t>
            </w:r>
            <w:proofErr w:type="spellEnd"/>
          </w:p>
        </w:tc>
      </w:tr>
      <w:tr w:rsidR="00BA558D" w:rsidRPr="00D57E9D" w:rsidTr="00065E6F">
        <w:trPr>
          <w:trHeight w:val="300"/>
        </w:trPr>
        <w:tc>
          <w:tcPr>
            <w:tcW w:w="567" w:type="dxa"/>
            <w:vMerge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160" w:type="dxa"/>
            <w:vMerge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57E9D"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  <w:t>Ertapénème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57E9D"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  <w:t>Imipénème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57E9D"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  <w:t>Méropénème</w:t>
            </w:r>
            <w:proofErr w:type="spellEnd"/>
          </w:p>
        </w:tc>
        <w:tc>
          <w:tcPr>
            <w:tcW w:w="160" w:type="dxa"/>
            <w:vMerge/>
          </w:tcPr>
          <w:p w:rsidR="00BA558D" w:rsidRPr="00D57E9D" w:rsidRDefault="00BA558D" w:rsidP="00065E6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160" w:type="dxa"/>
            <w:vMerge/>
          </w:tcPr>
          <w:p w:rsidR="00BA558D" w:rsidRPr="00D57E9D" w:rsidRDefault="00BA558D" w:rsidP="00065E6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160" w:type="dxa"/>
            <w:vMerge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TEMC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MER+DPA</w:t>
            </w:r>
          </w:p>
        </w:tc>
      </w:tr>
      <w:tr w:rsidR="00BA558D" w:rsidRPr="00507DF8" w:rsidTr="00065E6F">
        <w:trPr>
          <w:trHeight w:val="765"/>
        </w:trPr>
        <w:tc>
          <w:tcPr>
            <w:tcW w:w="567" w:type="dxa"/>
            <w:vMerge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507DF8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P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Sensibilité/</w:t>
            </w: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br/>
              <w:t>Spécificité</w:t>
            </w:r>
          </w:p>
        </w:tc>
        <w:tc>
          <w:tcPr>
            <w:tcW w:w="160" w:type="dxa"/>
            <w:vMerge/>
          </w:tcPr>
          <w:p w:rsidR="00BA558D" w:rsidRPr="00507DF8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507DF8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P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58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Sensibilité/</w:t>
            </w:r>
          </w:p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Spécificité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P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58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Sensibilité</w:t>
            </w:r>
          </w:p>
          <w:p w:rsidR="00BA558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/</w:t>
            </w:r>
          </w:p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Spécificité</w:t>
            </w: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P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BA558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Sensibilité</w:t>
            </w:r>
          </w:p>
          <w:p w:rsidR="00BA558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/</w:t>
            </w:r>
          </w:p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Spécificité</w:t>
            </w:r>
          </w:p>
        </w:tc>
        <w:tc>
          <w:tcPr>
            <w:tcW w:w="160" w:type="dxa"/>
            <w:vMerge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P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A558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Sensibilité</w:t>
            </w:r>
          </w:p>
          <w:p w:rsidR="00BA558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/</w:t>
            </w:r>
          </w:p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Spécificité</w:t>
            </w:r>
          </w:p>
        </w:tc>
        <w:tc>
          <w:tcPr>
            <w:tcW w:w="160" w:type="dxa"/>
            <w:vMerge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P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A558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Sensibilité</w:t>
            </w:r>
          </w:p>
          <w:p w:rsidR="00BA558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/</w:t>
            </w:r>
          </w:p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Spécificité</w:t>
            </w:r>
          </w:p>
        </w:tc>
        <w:tc>
          <w:tcPr>
            <w:tcW w:w="160" w:type="dxa"/>
            <w:vMerge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P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58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Sensibilité</w:t>
            </w:r>
          </w:p>
          <w:p w:rsidR="00BA558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/</w:t>
            </w:r>
          </w:p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Spécificité</w:t>
            </w: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P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BA558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Sensibilité</w:t>
            </w:r>
          </w:p>
          <w:p w:rsidR="00BA558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/</w:t>
            </w:r>
          </w:p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Spécificité</w:t>
            </w:r>
          </w:p>
        </w:tc>
      </w:tr>
      <w:tr w:rsidR="00BA558D" w:rsidRPr="00507DF8" w:rsidTr="00065E6F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  <w:t>OXA-48 (n=27)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100%/</w:t>
            </w: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br/>
              <w:t>51,61%</w:t>
            </w:r>
          </w:p>
        </w:tc>
        <w:tc>
          <w:tcPr>
            <w:tcW w:w="160" w:type="dxa"/>
            <w:vMerge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62,96%/</w:t>
            </w: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br/>
              <w:t>55,17%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100%/</w:t>
            </w: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br/>
              <w:t>51,17%</w:t>
            </w: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96,3%/</w:t>
            </w: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br/>
              <w:t>51,61%</w:t>
            </w:r>
          </w:p>
        </w:tc>
        <w:tc>
          <w:tcPr>
            <w:tcW w:w="160" w:type="dxa"/>
            <w:vMerge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96,3%/</w:t>
            </w: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br/>
              <w:t>31,25%</w:t>
            </w:r>
          </w:p>
        </w:tc>
        <w:tc>
          <w:tcPr>
            <w:tcW w:w="160" w:type="dxa"/>
            <w:vMerge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-</w:t>
            </w:r>
          </w:p>
        </w:tc>
        <w:tc>
          <w:tcPr>
            <w:tcW w:w="160" w:type="dxa"/>
            <w:vMerge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92</w:t>
            </w: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,59%/</w:t>
            </w: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br/>
              <w:t>87,5%</w:t>
            </w: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-</w:t>
            </w:r>
          </w:p>
        </w:tc>
      </w:tr>
      <w:tr w:rsidR="00BA558D" w:rsidRPr="00507DF8" w:rsidTr="00065E6F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b/>
                <w:bCs/>
                <w:color w:val="000000"/>
                <w:sz w:val="12"/>
                <w:szCs w:val="12"/>
              </w:rPr>
              <w:t>NDM (n=18)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94,44%/</w:t>
            </w: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br/>
              <w:t>50%</w:t>
            </w:r>
          </w:p>
        </w:tc>
        <w:tc>
          <w:tcPr>
            <w:tcW w:w="160" w:type="dxa"/>
            <w:vMerge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83,33%/</w:t>
            </w: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br/>
              <w:t>62,5%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83,33%/</w:t>
            </w: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br/>
              <w:t>50%</w:t>
            </w: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94,44%/</w:t>
            </w: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br/>
              <w:t>51,02%</w:t>
            </w:r>
          </w:p>
        </w:tc>
        <w:tc>
          <w:tcPr>
            <w:tcW w:w="160" w:type="dxa"/>
            <w:vMerge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-</w:t>
            </w:r>
          </w:p>
        </w:tc>
        <w:tc>
          <w:tcPr>
            <w:tcW w:w="160" w:type="dxa"/>
            <w:vMerge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83,33%/</w:t>
            </w: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br/>
              <w:t>96%</w:t>
            </w:r>
          </w:p>
        </w:tc>
        <w:tc>
          <w:tcPr>
            <w:tcW w:w="160" w:type="dxa"/>
            <w:vMerge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BA558D" w:rsidRPr="00D57E9D" w:rsidRDefault="00BA558D" w:rsidP="00065E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</w:pP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t>77,77%/</w:t>
            </w:r>
            <w:r w:rsidRPr="00D57E9D">
              <w:rPr>
                <w:rFonts w:asciiTheme="minorBidi" w:eastAsia="Times New Roman" w:hAnsiTheme="minorBidi"/>
                <w:color w:val="000000"/>
                <w:sz w:val="12"/>
                <w:szCs w:val="12"/>
              </w:rPr>
              <w:br/>
              <w:t>100%</w:t>
            </w:r>
          </w:p>
        </w:tc>
      </w:tr>
    </w:tbl>
    <w:p w:rsidR="00BA558D" w:rsidRPr="00CE219B" w:rsidRDefault="00BA558D" w:rsidP="00BA558D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</w:rPr>
      </w:pPr>
      <w:r w:rsidRPr="001D6717">
        <w:rPr>
          <w:rFonts w:asciiTheme="minorBidi" w:hAnsiTheme="minorBidi"/>
          <w:sz w:val="16"/>
          <w:szCs w:val="16"/>
        </w:rPr>
        <w:t xml:space="preserve">P : Positif ; TEMC, </w:t>
      </w:r>
      <w:proofErr w:type="spellStart"/>
      <w:r w:rsidRPr="001D6717">
        <w:rPr>
          <w:rFonts w:asciiTheme="minorBidi" w:hAnsiTheme="minorBidi"/>
          <w:sz w:val="16"/>
          <w:szCs w:val="16"/>
        </w:rPr>
        <w:t>témocilline</w:t>
      </w:r>
      <w:proofErr w:type="spellEnd"/>
      <w:r w:rsidRPr="001D6717">
        <w:rPr>
          <w:rFonts w:asciiTheme="minorBidi" w:hAnsiTheme="minorBidi"/>
          <w:sz w:val="16"/>
          <w:szCs w:val="16"/>
        </w:rPr>
        <w:t xml:space="preserve"> (</w:t>
      </w:r>
      <w:proofErr w:type="spellStart"/>
      <w:r w:rsidRPr="001D6717">
        <w:rPr>
          <w:rFonts w:asciiTheme="minorBidi" w:hAnsiTheme="minorBidi"/>
          <w:sz w:val="16"/>
          <w:szCs w:val="16"/>
        </w:rPr>
        <w:t>RoscoDiagnostica</w:t>
      </w:r>
      <w:proofErr w:type="spellEnd"/>
      <w:r w:rsidRPr="001D6717">
        <w:rPr>
          <w:rFonts w:asciiTheme="minorBidi" w:hAnsiTheme="minorBidi"/>
          <w:sz w:val="16"/>
          <w:szCs w:val="16"/>
        </w:rPr>
        <w:t xml:space="preserve">) ; MER+DPA : </w:t>
      </w:r>
      <w:proofErr w:type="spellStart"/>
      <w:r w:rsidRPr="001D6717">
        <w:rPr>
          <w:rFonts w:asciiTheme="minorBidi" w:hAnsiTheme="minorBidi"/>
          <w:sz w:val="16"/>
          <w:szCs w:val="16"/>
        </w:rPr>
        <w:t>méropénème</w:t>
      </w:r>
      <w:proofErr w:type="spellEnd"/>
      <w:r w:rsidRPr="001D6717">
        <w:rPr>
          <w:rFonts w:asciiTheme="minorBidi" w:hAnsiTheme="minorBidi"/>
          <w:sz w:val="16"/>
          <w:szCs w:val="16"/>
        </w:rPr>
        <w:t xml:space="preserve"> couplé à l’acide </w:t>
      </w:r>
      <w:proofErr w:type="spellStart"/>
      <w:r w:rsidRPr="001D6717">
        <w:rPr>
          <w:rFonts w:asciiTheme="minorBidi" w:hAnsiTheme="minorBidi"/>
          <w:sz w:val="16"/>
          <w:szCs w:val="16"/>
        </w:rPr>
        <w:t>dipicolinique</w:t>
      </w:r>
      <w:proofErr w:type="spellEnd"/>
      <w:r>
        <w:rPr>
          <w:rFonts w:asciiTheme="minorBidi" w:hAnsiTheme="minorBidi"/>
          <w:sz w:val="16"/>
          <w:szCs w:val="16"/>
        </w:rPr>
        <w:t> ; - : Non déterminé</w:t>
      </w:r>
      <w:r w:rsidRPr="001D6717">
        <w:rPr>
          <w:rFonts w:asciiTheme="minorBidi" w:hAnsiTheme="minorBidi"/>
          <w:sz w:val="16"/>
          <w:szCs w:val="16"/>
        </w:rPr>
        <w:t>.</w:t>
      </w:r>
    </w:p>
    <w:p w:rsidR="00BA558D" w:rsidRDefault="00BA558D">
      <w:r>
        <w:t xml:space="preserve"> </w:t>
      </w:r>
    </w:p>
    <w:sectPr w:rsidR="00BA558D" w:rsidSect="00172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822B8"/>
    <w:rsid w:val="0017268B"/>
    <w:rsid w:val="00817DC4"/>
    <w:rsid w:val="009061AA"/>
    <w:rsid w:val="00A822B8"/>
    <w:rsid w:val="00BA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2018-02-14T10:48:00Z</dcterms:created>
  <dcterms:modified xsi:type="dcterms:W3CDTF">2018-02-14T23:37:00Z</dcterms:modified>
</cp:coreProperties>
</file>