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3D" w:rsidRPr="00DD1D3D" w:rsidRDefault="00F922C3" w:rsidP="00205AE9">
      <w:pPr>
        <w:spacing w:after="200" w:line="276" w:lineRule="auto"/>
        <w:jc w:val="both"/>
        <w:rPr>
          <w:rFonts w:ascii="Tahoma" w:eastAsia="Times New Roman" w:hAnsi="Tahoma" w:cs="Tahoma"/>
          <w:b/>
          <w:color w:val="000000"/>
          <w:lang w:eastAsia="fr-FR"/>
        </w:rPr>
      </w:pPr>
      <w:r>
        <w:rPr>
          <w:rFonts w:ascii="Tahoma" w:eastAsia="Times New Roman" w:hAnsi="Tahoma" w:cs="Tahoma"/>
          <w:b/>
          <w:color w:val="000000"/>
          <w:lang w:eastAsia="fr-FR"/>
        </w:rPr>
        <w:t xml:space="preserve">Profil bactériologique des infections </w:t>
      </w:r>
      <w:r w:rsidR="00DD1D3D" w:rsidRPr="00DD1D3D">
        <w:rPr>
          <w:rFonts w:ascii="Tahoma" w:eastAsia="Times New Roman" w:hAnsi="Tahoma" w:cs="Tahoma"/>
          <w:b/>
          <w:color w:val="000000"/>
          <w:lang w:eastAsia="fr-FR"/>
        </w:rPr>
        <w:t>systémiques chez les patients insuffisants</w:t>
      </w:r>
      <w:r w:rsidR="00205AE9">
        <w:rPr>
          <w:rFonts w:ascii="Tahoma" w:eastAsia="Times New Roman" w:hAnsi="Tahoma" w:cs="Tahoma"/>
          <w:b/>
          <w:color w:val="000000"/>
          <w:lang w:eastAsia="fr-FR"/>
        </w:rPr>
        <w:t xml:space="preserve"> rénaux chroniques hémodialysés. </w:t>
      </w:r>
    </w:p>
    <w:p w:rsidR="00DD1D3D" w:rsidRPr="00DD1D3D" w:rsidRDefault="00DD1D3D" w:rsidP="00DD1D3D">
      <w:pPr>
        <w:spacing w:after="0" w:line="360" w:lineRule="auto"/>
        <w:jc w:val="both"/>
        <w:rPr>
          <w:rFonts w:ascii="Tahoma" w:eastAsia="Times New Roman" w:hAnsi="Tahoma" w:cs="Tahoma"/>
          <w:color w:val="000000"/>
          <w:vertAlign w:val="superscript"/>
          <w:lang w:eastAsia="fr-FR"/>
        </w:rPr>
      </w:pPr>
      <w:r w:rsidRPr="00DD1D3D">
        <w:rPr>
          <w:rFonts w:ascii="Tahoma" w:eastAsia="Times New Roman" w:hAnsi="Tahoma" w:cs="Tahoma"/>
          <w:color w:val="000000"/>
          <w:u w:val="single"/>
          <w:lang w:eastAsia="fr-FR"/>
        </w:rPr>
        <w:t>A. Mbarek</w:t>
      </w:r>
      <w:r w:rsidRPr="00DD1D3D">
        <w:rPr>
          <w:rFonts w:ascii="Tahoma" w:eastAsia="Times New Roman" w:hAnsi="Tahoma" w:cs="Tahoma"/>
          <w:color w:val="000000"/>
          <w:u w:val="single"/>
          <w:vertAlign w:val="superscript"/>
          <w:lang w:eastAsia="fr-FR"/>
        </w:rPr>
        <w:t>1</w:t>
      </w:r>
      <w:r w:rsidRPr="00DD1D3D">
        <w:rPr>
          <w:rFonts w:ascii="Tahoma" w:eastAsia="Times New Roman" w:hAnsi="Tahoma" w:cs="Tahoma"/>
          <w:color w:val="000000"/>
          <w:u w:val="single"/>
          <w:lang w:eastAsia="fr-FR"/>
        </w:rPr>
        <w:t>,</w:t>
      </w:r>
      <w:r w:rsidRPr="00DD1D3D">
        <w:rPr>
          <w:rFonts w:ascii="Tahoma" w:eastAsia="Times New Roman" w:hAnsi="Tahoma" w:cs="Tahoma"/>
          <w:color w:val="000000"/>
          <w:lang w:eastAsia="fr-FR"/>
        </w:rPr>
        <w:t xml:space="preserve"> A. Berriche</w:t>
      </w:r>
      <w:r w:rsidRPr="00DD1D3D">
        <w:rPr>
          <w:rFonts w:ascii="Tahoma" w:eastAsia="Times New Roman" w:hAnsi="Tahoma" w:cs="Tahoma"/>
          <w:color w:val="000000"/>
          <w:vertAlign w:val="superscript"/>
          <w:lang w:eastAsia="fr-FR"/>
        </w:rPr>
        <w:t>1</w:t>
      </w:r>
      <w:r w:rsidRPr="00DD1D3D">
        <w:rPr>
          <w:rFonts w:ascii="Tahoma" w:eastAsia="Times New Roman" w:hAnsi="Tahoma" w:cs="Tahoma"/>
          <w:color w:val="000000"/>
          <w:lang w:eastAsia="fr-FR"/>
        </w:rPr>
        <w:t>, L. Ammari</w:t>
      </w:r>
      <w:r w:rsidRPr="00DD1D3D">
        <w:rPr>
          <w:rFonts w:ascii="Tahoma" w:eastAsia="Times New Roman" w:hAnsi="Tahoma" w:cs="Tahoma"/>
          <w:color w:val="000000"/>
          <w:vertAlign w:val="superscript"/>
          <w:lang w:eastAsia="fr-FR"/>
        </w:rPr>
        <w:t>1</w:t>
      </w:r>
      <w:r w:rsidRPr="00DD1D3D">
        <w:rPr>
          <w:rFonts w:ascii="Tahoma" w:eastAsia="Times New Roman" w:hAnsi="Tahoma" w:cs="Tahoma"/>
          <w:color w:val="000000"/>
          <w:lang w:eastAsia="fr-FR"/>
        </w:rPr>
        <w:t>, H. Battikh</w:t>
      </w:r>
      <w:r w:rsidRPr="00DD1D3D">
        <w:rPr>
          <w:rFonts w:ascii="Tahoma" w:eastAsia="Times New Roman" w:hAnsi="Tahoma" w:cs="Tahoma"/>
          <w:color w:val="000000"/>
          <w:vertAlign w:val="superscript"/>
          <w:lang w:eastAsia="fr-FR"/>
        </w:rPr>
        <w:t>2</w:t>
      </w:r>
      <w:r w:rsidRPr="00DD1D3D">
        <w:rPr>
          <w:rFonts w:ascii="Tahoma" w:eastAsia="Times New Roman" w:hAnsi="Tahoma" w:cs="Tahoma"/>
          <w:color w:val="000000"/>
          <w:lang w:eastAsia="fr-FR"/>
        </w:rPr>
        <w:t>,</w:t>
      </w:r>
      <w:r w:rsidR="00F922C3">
        <w:rPr>
          <w:rFonts w:ascii="Tahoma" w:eastAsia="Times New Roman" w:hAnsi="Tahoma" w:cs="Tahoma"/>
          <w:color w:val="000000"/>
          <w:lang w:eastAsia="fr-FR"/>
        </w:rPr>
        <w:t xml:space="preserve"> S. Sallem</w:t>
      </w:r>
      <w:r w:rsidR="00F922C3" w:rsidRPr="00F922C3">
        <w:rPr>
          <w:rFonts w:ascii="Tahoma" w:eastAsia="Times New Roman" w:hAnsi="Tahoma" w:cs="Tahoma"/>
          <w:color w:val="000000"/>
          <w:vertAlign w:val="superscript"/>
          <w:lang w:eastAsia="fr-FR"/>
        </w:rPr>
        <w:t>1</w:t>
      </w:r>
      <w:r w:rsidR="00F922C3">
        <w:rPr>
          <w:rFonts w:ascii="Tahoma" w:eastAsia="Times New Roman" w:hAnsi="Tahoma" w:cs="Tahoma"/>
          <w:color w:val="000000"/>
          <w:lang w:eastAsia="fr-FR"/>
        </w:rPr>
        <w:t>,</w:t>
      </w:r>
      <w:r w:rsidRPr="00DD1D3D">
        <w:rPr>
          <w:rFonts w:ascii="Tahoma" w:eastAsia="Times New Roman" w:hAnsi="Tahoma" w:cs="Tahoma"/>
          <w:color w:val="000000"/>
          <w:lang w:eastAsia="fr-FR"/>
        </w:rPr>
        <w:t xml:space="preserve"> F. Kanoun</w:t>
      </w:r>
      <w:r w:rsidRPr="00DD1D3D">
        <w:rPr>
          <w:rFonts w:ascii="Tahoma" w:eastAsia="Times New Roman" w:hAnsi="Tahoma" w:cs="Tahoma"/>
          <w:color w:val="000000"/>
          <w:vertAlign w:val="superscript"/>
          <w:lang w:eastAsia="fr-FR"/>
        </w:rPr>
        <w:t>1</w:t>
      </w:r>
      <w:r w:rsidRPr="00DD1D3D">
        <w:rPr>
          <w:rFonts w:ascii="Tahoma" w:eastAsia="Times New Roman" w:hAnsi="Tahoma" w:cs="Tahoma"/>
          <w:color w:val="000000"/>
          <w:lang w:eastAsia="fr-FR"/>
        </w:rPr>
        <w:t>, A. Ghoubontini</w:t>
      </w:r>
      <w:r w:rsidRPr="00DD1D3D">
        <w:rPr>
          <w:rFonts w:ascii="Tahoma" w:eastAsia="Times New Roman" w:hAnsi="Tahoma" w:cs="Tahoma"/>
          <w:color w:val="000000"/>
          <w:vertAlign w:val="superscript"/>
          <w:lang w:eastAsia="fr-FR"/>
        </w:rPr>
        <w:t>1</w:t>
      </w:r>
      <w:r w:rsidRPr="00DD1D3D">
        <w:rPr>
          <w:rFonts w:ascii="Tahoma" w:eastAsia="Times New Roman" w:hAnsi="Tahoma" w:cs="Tahoma"/>
          <w:color w:val="000000"/>
          <w:lang w:eastAsia="fr-FR"/>
        </w:rPr>
        <w:t>, M. Zribi</w:t>
      </w:r>
      <w:r w:rsidRPr="00DD1D3D">
        <w:rPr>
          <w:rFonts w:ascii="Tahoma" w:eastAsia="Times New Roman" w:hAnsi="Tahoma" w:cs="Tahoma"/>
          <w:color w:val="000000"/>
          <w:vertAlign w:val="superscript"/>
          <w:lang w:eastAsia="fr-FR"/>
        </w:rPr>
        <w:t>2</w:t>
      </w:r>
      <w:r w:rsidRPr="00DD1D3D">
        <w:rPr>
          <w:rFonts w:ascii="Tahoma" w:eastAsia="Times New Roman" w:hAnsi="Tahoma" w:cs="Tahoma"/>
          <w:color w:val="000000"/>
          <w:lang w:eastAsia="fr-FR"/>
        </w:rPr>
        <w:t>, B. Kilani</w:t>
      </w:r>
      <w:r w:rsidRPr="00DD1D3D">
        <w:rPr>
          <w:rFonts w:ascii="Tahoma" w:eastAsia="Times New Roman" w:hAnsi="Tahoma" w:cs="Tahoma"/>
          <w:color w:val="000000"/>
          <w:vertAlign w:val="superscript"/>
          <w:lang w:eastAsia="fr-FR"/>
        </w:rPr>
        <w:t>1</w:t>
      </w:r>
      <w:r w:rsidRPr="00DD1D3D">
        <w:rPr>
          <w:rFonts w:ascii="Tahoma" w:eastAsia="Times New Roman" w:hAnsi="Tahoma" w:cs="Tahoma"/>
          <w:color w:val="000000"/>
          <w:lang w:eastAsia="fr-FR"/>
        </w:rPr>
        <w:t>, C. Fendri</w:t>
      </w:r>
      <w:r w:rsidRPr="00DD1D3D">
        <w:rPr>
          <w:rFonts w:ascii="Tahoma" w:eastAsia="Times New Roman" w:hAnsi="Tahoma" w:cs="Tahoma"/>
          <w:color w:val="000000"/>
          <w:vertAlign w:val="superscript"/>
          <w:lang w:eastAsia="fr-FR"/>
        </w:rPr>
        <w:t>2</w:t>
      </w:r>
      <w:r w:rsidRPr="00DD1D3D">
        <w:rPr>
          <w:rFonts w:ascii="Tahoma" w:eastAsia="Times New Roman" w:hAnsi="Tahoma" w:cs="Tahoma"/>
          <w:color w:val="000000"/>
          <w:lang w:eastAsia="fr-FR"/>
        </w:rPr>
        <w:t>, R. Abdelmalek</w:t>
      </w:r>
      <w:r w:rsidRPr="00DD1D3D">
        <w:rPr>
          <w:rFonts w:ascii="Tahoma" w:eastAsia="Times New Roman" w:hAnsi="Tahoma" w:cs="Tahoma"/>
          <w:color w:val="000000"/>
          <w:vertAlign w:val="superscript"/>
          <w:lang w:eastAsia="fr-FR"/>
        </w:rPr>
        <w:t>1</w:t>
      </w:r>
      <w:r w:rsidRPr="00DD1D3D">
        <w:rPr>
          <w:rFonts w:ascii="Tahoma" w:eastAsia="Times New Roman" w:hAnsi="Tahoma" w:cs="Tahoma"/>
          <w:color w:val="000000"/>
          <w:lang w:eastAsia="fr-FR"/>
        </w:rPr>
        <w:t>, H. Tiouiri Benaissa</w:t>
      </w:r>
      <w:r w:rsidRPr="00DD1D3D">
        <w:rPr>
          <w:rFonts w:ascii="Tahoma" w:eastAsia="Times New Roman" w:hAnsi="Tahoma" w:cs="Tahoma"/>
          <w:color w:val="000000"/>
          <w:vertAlign w:val="superscript"/>
          <w:lang w:eastAsia="fr-FR"/>
        </w:rPr>
        <w:t>1</w:t>
      </w:r>
    </w:p>
    <w:p w:rsidR="000A1E38" w:rsidRDefault="00DD1D3D" w:rsidP="000A1E38">
      <w:pPr>
        <w:spacing w:after="0" w:line="360" w:lineRule="auto"/>
        <w:jc w:val="both"/>
        <w:rPr>
          <w:rFonts w:ascii="Tahoma" w:eastAsia="Times New Roman" w:hAnsi="Tahoma" w:cs="Tahoma"/>
          <w:color w:val="000000"/>
          <w:lang w:eastAsia="fr-FR"/>
        </w:rPr>
      </w:pPr>
      <w:r w:rsidRPr="00DD1D3D">
        <w:rPr>
          <w:rFonts w:ascii="Tahoma" w:eastAsia="Times New Roman" w:hAnsi="Tahoma" w:cs="Tahoma"/>
          <w:color w:val="000000"/>
          <w:lang w:eastAsia="fr-FR"/>
        </w:rPr>
        <w:t>1-Service des maladies infectieuses-hôpital la Rabta, Tunis, Tunisie</w:t>
      </w:r>
    </w:p>
    <w:p w:rsidR="00DD1D3D" w:rsidRPr="00DD1D3D" w:rsidRDefault="00DD1D3D" w:rsidP="000A1E38">
      <w:pPr>
        <w:spacing w:after="0" w:line="360" w:lineRule="auto"/>
        <w:jc w:val="both"/>
        <w:rPr>
          <w:rFonts w:ascii="Tahoma" w:eastAsia="Times New Roman" w:hAnsi="Tahoma" w:cs="Tahoma"/>
          <w:color w:val="000000"/>
          <w:lang w:eastAsia="fr-FR"/>
        </w:rPr>
      </w:pPr>
      <w:r w:rsidRPr="00DD1D3D">
        <w:rPr>
          <w:rFonts w:ascii="Tahoma" w:eastAsia="Times New Roman" w:hAnsi="Tahoma" w:cs="Tahoma"/>
          <w:color w:val="000000"/>
          <w:lang w:eastAsia="fr-FR"/>
        </w:rPr>
        <w:t>2-Service de microbiologie- hôpital la Rabta, Tunis, Tunisie</w:t>
      </w:r>
    </w:p>
    <w:p w:rsidR="00DD1D3D" w:rsidRPr="00DD1D3D" w:rsidRDefault="00DD1D3D" w:rsidP="00DD1D3D">
      <w:pPr>
        <w:spacing w:after="0" w:line="360" w:lineRule="auto"/>
        <w:jc w:val="both"/>
        <w:rPr>
          <w:rFonts w:ascii="Tahoma" w:eastAsia="Times New Roman" w:hAnsi="Tahoma" w:cs="Tahoma"/>
          <w:color w:val="000000"/>
          <w:lang w:eastAsia="fr-FR"/>
        </w:rPr>
      </w:pPr>
      <w:r w:rsidRPr="00DD1D3D">
        <w:rPr>
          <w:rFonts w:ascii="Tahoma" w:eastAsia="Times New Roman" w:hAnsi="Tahoma" w:cs="Tahoma"/>
          <w:color w:val="000000"/>
          <w:lang w:eastAsia="fr-FR"/>
        </w:rPr>
        <w:t>Faculté de Médecine de Tunis- Université Tunis El Manar</w:t>
      </w:r>
    </w:p>
    <w:p w:rsidR="004E7AEA" w:rsidRPr="00DD1D3D" w:rsidRDefault="004E7AEA" w:rsidP="004C1A74">
      <w:pPr>
        <w:spacing w:after="0" w:line="360" w:lineRule="auto"/>
        <w:jc w:val="both"/>
        <w:rPr>
          <w:rFonts w:ascii="Tahoma" w:hAnsi="Tahoma" w:cs="Tahoma"/>
        </w:rPr>
      </w:pPr>
      <w:r w:rsidRPr="00DD1D3D">
        <w:rPr>
          <w:rFonts w:ascii="Tahoma" w:hAnsi="Tahoma" w:cs="Tahoma"/>
          <w:b/>
          <w:bCs/>
        </w:rPr>
        <w:t>INTRODUCTION</w:t>
      </w:r>
      <w:r w:rsidR="00290B53">
        <w:rPr>
          <w:rFonts w:ascii="Tahoma" w:hAnsi="Tahoma" w:cs="Tahoma"/>
        </w:rPr>
        <w:t xml:space="preserve"> - </w:t>
      </w:r>
      <w:r w:rsidRPr="00DD1D3D">
        <w:rPr>
          <w:rFonts w:ascii="Tahoma" w:hAnsi="Tahoma" w:cs="Tahoma"/>
        </w:rPr>
        <w:t>Les complications infectieuses constituent la deuxième cause de mo</w:t>
      </w:r>
      <w:r w:rsidR="000A1E38">
        <w:rPr>
          <w:rFonts w:ascii="Tahoma" w:hAnsi="Tahoma" w:cs="Tahoma"/>
        </w:rPr>
        <w:t>r</w:t>
      </w:r>
      <w:r w:rsidRPr="00DD1D3D">
        <w:rPr>
          <w:rFonts w:ascii="Tahoma" w:hAnsi="Tahoma" w:cs="Tahoma"/>
        </w:rPr>
        <w:t>bi-mortalité chez les</w:t>
      </w:r>
      <w:r w:rsidR="004C1A74">
        <w:rPr>
          <w:rFonts w:ascii="Tahoma" w:hAnsi="Tahoma" w:cs="Tahoma"/>
        </w:rPr>
        <w:t>insuffisants rénaux chroniques</w:t>
      </w:r>
      <w:r w:rsidRPr="00DD1D3D">
        <w:rPr>
          <w:rFonts w:ascii="Tahoma" w:hAnsi="Tahoma" w:cs="Tahoma"/>
        </w:rPr>
        <w:t>(IRC)</w:t>
      </w:r>
      <w:r w:rsidR="000A1E38">
        <w:rPr>
          <w:rFonts w:ascii="Tahoma" w:hAnsi="Tahoma" w:cs="Tahoma"/>
        </w:rPr>
        <w:t xml:space="preserve"> hémodialysés</w:t>
      </w:r>
      <w:r w:rsidRPr="00DD1D3D">
        <w:rPr>
          <w:rFonts w:ascii="Tahoma" w:hAnsi="Tahoma" w:cs="Tahoma"/>
        </w:rPr>
        <w:t xml:space="preserve">(HD). Les germes </w:t>
      </w:r>
      <w:r w:rsidR="004C1A74">
        <w:rPr>
          <w:rFonts w:ascii="Tahoma" w:hAnsi="Tahoma" w:cs="Tahoma"/>
        </w:rPr>
        <w:t>incriminés</w:t>
      </w:r>
      <w:r w:rsidR="00570450">
        <w:rPr>
          <w:rFonts w:ascii="Tahoma" w:hAnsi="Tahoma" w:cs="Tahoma"/>
        </w:rPr>
        <w:t xml:space="preserve"> sont variables.</w:t>
      </w:r>
    </w:p>
    <w:p w:rsidR="004E7AEA" w:rsidRPr="00DD1D3D" w:rsidRDefault="004E7AEA" w:rsidP="000A1E38">
      <w:pPr>
        <w:spacing w:after="0" w:line="360" w:lineRule="auto"/>
        <w:jc w:val="both"/>
        <w:rPr>
          <w:rFonts w:ascii="Tahoma" w:hAnsi="Tahoma" w:cs="Tahoma"/>
        </w:rPr>
      </w:pPr>
      <w:r w:rsidRPr="00DD1D3D">
        <w:rPr>
          <w:rFonts w:ascii="Tahoma" w:hAnsi="Tahoma" w:cs="Tahoma"/>
        </w:rPr>
        <w:t xml:space="preserve">L’objectif de notre étude est de relever le </w:t>
      </w:r>
      <w:r w:rsidR="00570450">
        <w:rPr>
          <w:rFonts w:ascii="Tahoma" w:hAnsi="Tahoma" w:cs="Tahoma"/>
        </w:rPr>
        <w:t xml:space="preserve">profil bactériologique </w:t>
      </w:r>
      <w:r w:rsidRPr="00DD1D3D">
        <w:rPr>
          <w:rFonts w:ascii="Tahoma" w:hAnsi="Tahoma" w:cs="Tahoma"/>
        </w:rPr>
        <w:t xml:space="preserve">des infections chez les </w:t>
      </w:r>
      <w:r w:rsidR="001515D8" w:rsidRPr="00DD1D3D">
        <w:rPr>
          <w:rFonts w:ascii="Tahoma" w:hAnsi="Tahoma" w:cs="Tahoma"/>
        </w:rPr>
        <w:t>HD</w:t>
      </w:r>
      <w:r w:rsidR="000A1E38">
        <w:rPr>
          <w:rFonts w:ascii="Tahoma" w:hAnsi="Tahoma" w:cs="Tahoma"/>
        </w:rPr>
        <w:t xml:space="preserve"> hospitalisés</w:t>
      </w:r>
      <w:r w:rsidRPr="00DD1D3D">
        <w:rPr>
          <w:rFonts w:ascii="Tahoma" w:hAnsi="Tahoma" w:cs="Tahoma"/>
        </w:rPr>
        <w:t xml:space="preserve"> au service des ma</w:t>
      </w:r>
      <w:r w:rsidR="000A1E38">
        <w:rPr>
          <w:rFonts w:ascii="Tahoma" w:hAnsi="Tahoma" w:cs="Tahoma"/>
        </w:rPr>
        <w:t>ladies infectieuses la Rabta (Janvier 2013-</w:t>
      </w:r>
      <w:r w:rsidR="00F922C3">
        <w:rPr>
          <w:rFonts w:ascii="Tahoma" w:hAnsi="Tahoma" w:cs="Tahoma"/>
        </w:rPr>
        <w:t>Décembre 2017</w:t>
      </w:r>
      <w:r w:rsidR="000A1E38">
        <w:rPr>
          <w:rFonts w:ascii="Tahoma" w:hAnsi="Tahoma" w:cs="Tahoma"/>
        </w:rPr>
        <w:t>)</w:t>
      </w:r>
      <w:r w:rsidRPr="00DD1D3D">
        <w:rPr>
          <w:rFonts w:ascii="Tahoma" w:hAnsi="Tahoma" w:cs="Tahoma"/>
        </w:rPr>
        <w:t>.</w:t>
      </w:r>
    </w:p>
    <w:p w:rsidR="00827981" w:rsidRDefault="004E7AEA" w:rsidP="007B6447">
      <w:pPr>
        <w:spacing w:after="0" w:line="360" w:lineRule="auto"/>
        <w:jc w:val="both"/>
        <w:rPr>
          <w:rFonts w:ascii="Tahoma" w:hAnsi="Tahoma" w:cs="Tahoma"/>
        </w:rPr>
      </w:pPr>
      <w:r w:rsidRPr="00DD1D3D">
        <w:rPr>
          <w:rFonts w:ascii="Tahoma" w:hAnsi="Tahoma" w:cs="Tahoma"/>
          <w:b/>
          <w:bCs/>
        </w:rPr>
        <w:t xml:space="preserve">PATIENTS ET METHODES – </w:t>
      </w:r>
      <w:r w:rsidR="007B6447">
        <w:rPr>
          <w:rFonts w:ascii="Tahoma" w:hAnsi="Tahoma" w:cs="Tahoma"/>
        </w:rPr>
        <w:t>E</w:t>
      </w:r>
      <w:r w:rsidRPr="00DD1D3D">
        <w:rPr>
          <w:rFonts w:ascii="Tahoma" w:hAnsi="Tahoma" w:cs="Tahoma"/>
        </w:rPr>
        <w:t>tude rétrospe</w:t>
      </w:r>
      <w:r w:rsidR="00205AE9">
        <w:rPr>
          <w:rFonts w:ascii="Tahoma" w:hAnsi="Tahoma" w:cs="Tahoma"/>
        </w:rPr>
        <w:t>ctive descriptive</w:t>
      </w:r>
      <w:r w:rsidR="00570450">
        <w:rPr>
          <w:rFonts w:ascii="Tahoma" w:hAnsi="Tahoma" w:cs="Tahoma"/>
        </w:rPr>
        <w:t>, incluant</w:t>
      </w:r>
      <w:r w:rsidR="007B6447">
        <w:rPr>
          <w:rFonts w:ascii="Tahoma" w:hAnsi="Tahoma" w:cs="Tahoma"/>
        </w:rPr>
        <w:t>les patients IRC hémodialysés</w:t>
      </w:r>
      <w:r w:rsidR="004C1A74">
        <w:rPr>
          <w:rFonts w:ascii="Tahoma" w:hAnsi="Tahoma" w:cs="Tahoma"/>
        </w:rPr>
        <w:t>,</w:t>
      </w:r>
      <w:r w:rsidR="001515D8" w:rsidRPr="00DD1D3D">
        <w:rPr>
          <w:rFonts w:ascii="Tahoma" w:hAnsi="Tahoma" w:cs="Tahoma"/>
        </w:rPr>
        <w:t>hospitalisés pour un épisode</w:t>
      </w:r>
      <w:r w:rsidR="004C1A74">
        <w:rPr>
          <w:rFonts w:ascii="Tahoma" w:hAnsi="Tahoma" w:cs="Tahoma"/>
        </w:rPr>
        <w:t xml:space="preserve"> infectieux avec hémoculture(s)</w:t>
      </w:r>
      <w:r w:rsidR="0083570B">
        <w:rPr>
          <w:rFonts w:ascii="Tahoma" w:hAnsi="Tahoma" w:cs="Tahoma"/>
        </w:rPr>
        <w:t xml:space="preserve">(HC) </w:t>
      </w:r>
      <w:r w:rsidR="001515D8" w:rsidRPr="00DD1D3D">
        <w:rPr>
          <w:rFonts w:ascii="Tahoma" w:hAnsi="Tahoma" w:cs="Tahoma"/>
        </w:rPr>
        <w:t>et/ou</w:t>
      </w:r>
      <w:r w:rsidR="004C1A74">
        <w:rPr>
          <w:rFonts w:ascii="Tahoma" w:hAnsi="Tahoma" w:cs="Tahoma"/>
        </w:rPr>
        <w:t xml:space="preserve"> culture du cathéter</w:t>
      </w:r>
      <w:r w:rsidR="00205AE9">
        <w:rPr>
          <w:rFonts w:ascii="Tahoma" w:hAnsi="Tahoma" w:cs="Tahoma"/>
        </w:rPr>
        <w:t xml:space="preserve"> (KT) </w:t>
      </w:r>
      <w:r w:rsidR="00DD1D3D" w:rsidRPr="00DD1D3D">
        <w:rPr>
          <w:rFonts w:ascii="Tahoma" w:hAnsi="Tahoma" w:cs="Tahoma"/>
        </w:rPr>
        <w:t>positive(s).</w:t>
      </w:r>
    </w:p>
    <w:p w:rsidR="00827981" w:rsidRDefault="00DD1D3D" w:rsidP="007B6447">
      <w:pPr>
        <w:spacing w:after="0" w:line="360" w:lineRule="auto"/>
        <w:jc w:val="both"/>
        <w:rPr>
          <w:rFonts w:ascii="Tahoma" w:hAnsi="Tahoma" w:cs="Tahoma"/>
        </w:rPr>
      </w:pPr>
      <w:r w:rsidRPr="00DD1D3D">
        <w:rPr>
          <w:rFonts w:ascii="Tahoma" w:hAnsi="Tahoma" w:cs="Tahoma"/>
          <w:b/>
          <w:bCs/>
        </w:rPr>
        <w:t xml:space="preserve">RESULTATS </w:t>
      </w:r>
      <w:r w:rsidR="00F922C3">
        <w:rPr>
          <w:rFonts w:ascii="Tahoma" w:hAnsi="Tahoma" w:cs="Tahoma"/>
          <w:b/>
          <w:bCs/>
        </w:rPr>
        <w:t>–</w:t>
      </w:r>
      <w:r w:rsidR="00290B53">
        <w:rPr>
          <w:rFonts w:ascii="Tahoma" w:hAnsi="Tahoma" w:cs="Tahoma"/>
        </w:rPr>
        <w:t xml:space="preserve"> N</w:t>
      </w:r>
      <w:r w:rsidR="00827981">
        <w:rPr>
          <w:rFonts w:ascii="Tahoma" w:hAnsi="Tahoma" w:cs="Tahoma"/>
        </w:rPr>
        <w:t>ous avons collig</w:t>
      </w:r>
      <w:r w:rsidR="007B6447">
        <w:rPr>
          <w:rFonts w:ascii="Tahoma" w:hAnsi="Tahoma" w:cs="Tahoma"/>
        </w:rPr>
        <w:t>é 49 épisodes de sepsis</w:t>
      </w:r>
      <w:r w:rsidR="004C1A74">
        <w:rPr>
          <w:rFonts w:ascii="Tahoma" w:hAnsi="Tahoma" w:cs="Tahoma"/>
        </w:rPr>
        <w:t>.</w:t>
      </w:r>
      <w:r w:rsidR="007B6447">
        <w:rPr>
          <w:rFonts w:ascii="Tahoma" w:hAnsi="Tahoma" w:cs="Tahoma"/>
        </w:rPr>
        <w:t xml:space="preserve">Nous avons retenu </w:t>
      </w:r>
      <w:r w:rsidR="00570450">
        <w:rPr>
          <w:rFonts w:ascii="Tahoma" w:hAnsi="Tahoma" w:cs="Tahoma"/>
        </w:rPr>
        <w:t xml:space="preserve">37 épisodes infectieux chez </w:t>
      </w:r>
      <w:r w:rsidR="00827981">
        <w:rPr>
          <w:rFonts w:ascii="Tahoma" w:hAnsi="Tahoma" w:cs="Tahoma"/>
        </w:rPr>
        <w:t xml:space="preserve">33 </w:t>
      </w:r>
      <w:r w:rsidR="00570450">
        <w:rPr>
          <w:rFonts w:ascii="Tahoma" w:hAnsi="Tahoma" w:cs="Tahoma"/>
        </w:rPr>
        <w:t xml:space="preserve">d’entre eux avec </w:t>
      </w:r>
      <w:r w:rsidR="00827981">
        <w:rPr>
          <w:rFonts w:ascii="Tahoma" w:hAnsi="Tahoma" w:cs="Tahoma"/>
        </w:rPr>
        <w:t>une en</w:t>
      </w:r>
      <w:r w:rsidR="004C1A74">
        <w:rPr>
          <w:rFonts w:ascii="Tahoma" w:hAnsi="Tahoma" w:cs="Tahoma"/>
        </w:rPr>
        <w:t>quête bactériologique positive.</w:t>
      </w:r>
      <w:r w:rsidR="00ED3B70" w:rsidRPr="004A1A96">
        <w:rPr>
          <w:rFonts w:ascii="Tahoma" w:hAnsi="Tahoma" w:cs="Tahoma"/>
        </w:rPr>
        <w:t>Il s’agit</w:t>
      </w:r>
      <w:r w:rsidR="0083570B">
        <w:rPr>
          <w:rFonts w:ascii="Tahoma" w:hAnsi="Tahoma" w:cs="Tahoma"/>
        </w:rPr>
        <w:t xml:space="preserve"> de</w:t>
      </w:r>
      <w:r w:rsidR="00ED3B70" w:rsidRPr="004A1A96">
        <w:rPr>
          <w:rFonts w:ascii="Tahoma" w:hAnsi="Tahoma" w:cs="Tahoma"/>
        </w:rPr>
        <w:t xml:space="preserve"> 19 hommes et 14 femmes</w:t>
      </w:r>
      <w:r w:rsidR="00570450">
        <w:rPr>
          <w:rFonts w:ascii="Tahoma" w:hAnsi="Tahoma" w:cs="Tahoma"/>
        </w:rPr>
        <w:t xml:space="preserve"> d’âge moyen égal à</w:t>
      </w:r>
      <w:r w:rsidR="00ED3B70" w:rsidRPr="004A1A96">
        <w:rPr>
          <w:rFonts w:ascii="Tahoma" w:hAnsi="Tahoma" w:cs="Tahoma"/>
        </w:rPr>
        <w:t xml:space="preserve"> 56,6 ans.</w:t>
      </w:r>
      <w:r w:rsidR="007B6447">
        <w:rPr>
          <w:rFonts w:ascii="Tahoma" w:hAnsi="Tahoma" w:cs="Tahoma"/>
        </w:rPr>
        <w:t>La dialyse était réalisé par</w:t>
      </w:r>
      <w:r w:rsidR="00ED3B70" w:rsidRPr="004A1A96">
        <w:rPr>
          <w:rFonts w:ascii="Tahoma" w:hAnsi="Tahoma" w:cs="Tahoma"/>
        </w:rPr>
        <w:t xml:space="preserve"> un</w:t>
      </w:r>
      <w:r w:rsidR="00827981" w:rsidRPr="004A1A96">
        <w:rPr>
          <w:rFonts w:ascii="Tahoma" w:hAnsi="Tahoma" w:cs="Tahoma"/>
        </w:rPr>
        <w:t xml:space="preserve"> KT</w:t>
      </w:r>
      <w:r w:rsidR="00290B53">
        <w:rPr>
          <w:rFonts w:ascii="Tahoma" w:hAnsi="Tahoma" w:cs="Tahoma"/>
        </w:rPr>
        <w:t xml:space="preserve">(n=27) </w:t>
      </w:r>
      <w:r w:rsidR="00ED3B70" w:rsidRPr="004A1A96">
        <w:rPr>
          <w:rFonts w:ascii="Tahoma" w:hAnsi="Tahoma" w:cs="Tahoma"/>
        </w:rPr>
        <w:t xml:space="preserve">mis en place </w:t>
      </w:r>
      <w:r w:rsidR="00290B53">
        <w:rPr>
          <w:rFonts w:ascii="Tahoma" w:hAnsi="Tahoma" w:cs="Tahoma"/>
        </w:rPr>
        <w:t xml:space="preserve">depuis une moyenne de 5,7 mois ou </w:t>
      </w:r>
      <w:r w:rsidR="00827981" w:rsidRPr="004A1A96">
        <w:rPr>
          <w:rFonts w:ascii="Tahoma" w:hAnsi="Tahoma" w:cs="Tahoma"/>
        </w:rPr>
        <w:t>par fistule a</w:t>
      </w:r>
      <w:r w:rsidR="00290B53">
        <w:rPr>
          <w:rFonts w:ascii="Tahoma" w:hAnsi="Tahoma" w:cs="Tahoma"/>
        </w:rPr>
        <w:t>r</w:t>
      </w:r>
      <w:r w:rsidR="00827981" w:rsidRPr="004A1A96">
        <w:rPr>
          <w:rFonts w:ascii="Tahoma" w:hAnsi="Tahoma" w:cs="Tahoma"/>
        </w:rPr>
        <w:t>t</w:t>
      </w:r>
      <w:r w:rsidR="00290B53">
        <w:rPr>
          <w:rFonts w:ascii="Tahoma" w:hAnsi="Tahoma" w:cs="Tahoma"/>
        </w:rPr>
        <w:t>éri</w:t>
      </w:r>
      <w:r w:rsidR="00827981" w:rsidRPr="004A1A96">
        <w:rPr>
          <w:rFonts w:ascii="Tahoma" w:hAnsi="Tahoma" w:cs="Tahoma"/>
        </w:rPr>
        <w:t>o-veineuse</w:t>
      </w:r>
      <w:r w:rsidR="00290B53">
        <w:rPr>
          <w:rFonts w:ascii="Tahoma" w:hAnsi="Tahoma" w:cs="Tahoma"/>
        </w:rPr>
        <w:t xml:space="preserve"> (n=8)</w:t>
      </w:r>
      <w:r w:rsidR="007B6447">
        <w:rPr>
          <w:rFonts w:ascii="Tahoma" w:hAnsi="Tahoma" w:cs="Tahoma"/>
        </w:rPr>
        <w:t xml:space="preserve">. </w:t>
      </w:r>
    </w:p>
    <w:p w:rsidR="00D81C05" w:rsidRDefault="0083570B" w:rsidP="00CE4604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="004A1A96">
        <w:rPr>
          <w:rFonts w:ascii="Tahoma" w:hAnsi="Tahoma" w:cs="Tahoma"/>
        </w:rPr>
        <w:t xml:space="preserve">’orifice du KT </w:t>
      </w:r>
      <w:r w:rsidR="00AE0448">
        <w:rPr>
          <w:rFonts w:ascii="Tahoma" w:hAnsi="Tahoma" w:cs="Tahoma"/>
        </w:rPr>
        <w:t>étai</w:t>
      </w:r>
      <w:r w:rsidR="00313409">
        <w:rPr>
          <w:rFonts w:ascii="Tahoma" w:hAnsi="Tahoma" w:cs="Tahoma"/>
        </w:rPr>
        <w:t>t inflammatoire</w:t>
      </w:r>
      <w:r w:rsidR="004C1A74">
        <w:rPr>
          <w:rFonts w:ascii="Tahoma" w:hAnsi="Tahoma" w:cs="Tahoma"/>
        </w:rPr>
        <w:t xml:space="preserve"> dans 16 épisodes,</w:t>
      </w:r>
      <w:r>
        <w:rPr>
          <w:rFonts w:ascii="Tahoma" w:hAnsi="Tahoma" w:cs="Tahoma"/>
        </w:rPr>
        <w:t xml:space="preserve">avec </w:t>
      </w:r>
      <w:r w:rsidR="00313409">
        <w:rPr>
          <w:rFonts w:ascii="Tahoma" w:hAnsi="Tahoma" w:cs="Tahoma"/>
        </w:rPr>
        <w:t xml:space="preserve"> issue de pus dans 8 épisodes.</w:t>
      </w:r>
    </w:p>
    <w:p w:rsidR="0016375C" w:rsidRDefault="007B6447" w:rsidP="007B6447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Les </w:t>
      </w:r>
      <w:r w:rsidR="00CE4604">
        <w:rPr>
          <w:rFonts w:ascii="Tahoma" w:hAnsi="Tahoma" w:cs="Tahoma"/>
        </w:rPr>
        <w:t>HC</w:t>
      </w:r>
      <w:r>
        <w:rPr>
          <w:rFonts w:ascii="Tahoma" w:hAnsi="Tahoma" w:cs="Tahoma"/>
        </w:rPr>
        <w:t xml:space="preserve">, </w:t>
      </w:r>
      <w:r w:rsidR="00CE4604">
        <w:rPr>
          <w:rFonts w:ascii="Tahoma" w:hAnsi="Tahoma" w:cs="Tahoma"/>
        </w:rPr>
        <w:t>réalisées dans 36 épisodes,</w:t>
      </w:r>
      <w:r>
        <w:rPr>
          <w:rFonts w:ascii="Tahoma" w:hAnsi="Tahoma" w:cs="Tahoma"/>
        </w:rPr>
        <w:t xml:space="preserve">étaient </w:t>
      </w:r>
      <w:r w:rsidR="00D81C05">
        <w:rPr>
          <w:rFonts w:ascii="Tahoma" w:hAnsi="Tahoma" w:cs="Tahoma"/>
        </w:rPr>
        <w:t xml:space="preserve">positives dans 35 épisodes. </w:t>
      </w:r>
      <w:r w:rsidR="00313409">
        <w:rPr>
          <w:rFonts w:ascii="Tahoma" w:hAnsi="Tahoma" w:cs="Tahoma"/>
        </w:rPr>
        <w:t xml:space="preserve">Les germes isolés </w:t>
      </w:r>
      <w:r w:rsidR="00D72943">
        <w:rPr>
          <w:rFonts w:ascii="Tahoma" w:hAnsi="Tahoma" w:cs="Tahoma"/>
        </w:rPr>
        <w:t xml:space="preserve">étaient: </w:t>
      </w:r>
      <w:r w:rsidR="00D72943" w:rsidRPr="00D72943">
        <w:rPr>
          <w:rFonts w:ascii="Tahoma" w:hAnsi="Tahoma" w:cs="Tahoma"/>
          <w:i/>
          <w:iCs/>
        </w:rPr>
        <w:t>S</w:t>
      </w:r>
      <w:r>
        <w:rPr>
          <w:rFonts w:ascii="Tahoma" w:hAnsi="Tahoma" w:cs="Tahoma"/>
          <w:i/>
          <w:iCs/>
        </w:rPr>
        <w:t>.</w:t>
      </w:r>
      <w:r w:rsidR="00D81C05" w:rsidRPr="00D72943">
        <w:rPr>
          <w:rFonts w:ascii="Tahoma" w:hAnsi="Tahoma" w:cs="Tahoma"/>
          <w:i/>
          <w:iCs/>
        </w:rPr>
        <w:t>aureus</w:t>
      </w:r>
      <w:r w:rsidR="00D72943">
        <w:rPr>
          <w:rFonts w:ascii="Tahoma" w:hAnsi="Tahoma" w:cs="Tahoma"/>
          <w:i/>
          <w:iCs/>
        </w:rPr>
        <w:t>,</w:t>
      </w:r>
      <w:r w:rsidR="00D81C05">
        <w:rPr>
          <w:rFonts w:ascii="Tahoma" w:hAnsi="Tahoma" w:cs="Tahoma"/>
        </w:rPr>
        <w:t>m</w:t>
      </w:r>
      <w:r w:rsidR="00313409">
        <w:rPr>
          <w:rFonts w:ascii="Tahoma" w:hAnsi="Tahoma" w:cs="Tahoma"/>
        </w:rPr>
        <w:t>ét</w:t>
      </w:r>
      <w:r w:rsidR="00D72943">
        <w:rPr>
          <w:rFonts w:ascii="Tahoma" w:hAnsi="Tahoma" w:cs="Tahoma"/>
        </w:rPr>
        <w:t>h</w:t>
      </w:r>
      <w:r w:rsidR="00313409">
        <w:rPr>
          <w:rFonts w:ascii="Tahoma" w:hAnsi="Tahoma" w:cs="Tahoma"/>
        </w:rPr>
        <w:t>icilline-sensible</w:t>
      </w:r>
      <w:r w:rsidR="00D72943">
        <w:rPr>
          <w:rFonts w:ascii="Tahoma" w:hAnsi="Tahoma" w:cs="Tahoma"/>
        </w:rPr>
        <w:t xml:space="preserve"> (SAMS</w:t>
      </w:r>
      <w:r w:rsidR="0016375C">
        <w:rPr>
          <w:rFonts w:ascii="Tahoma" w:hAnsi="Tahoma" w:cs="Tahoma"/>
        </w:rPr>
        <w:t>)</w:t>
      </w:r>
      <w:r w:rsidR="00313409">
        <w:rPr>
          <w:rFonts w:ascii="Tahoma" w:hAnsi="Tahoma" w:cs="Tahoma"/>
        </w:rPr>
        <w:t>(n=10)</w:t>
      </w:r>
      <w:r w:rsidR="00D72943">
        <w:rPr>
          <w:rFonts w:ascii="Tahoma" w:hAnsi="Tahoma" w:cs="Tahoma"/>
        </w:rPr>
        <w:t xml:space="preserve"> et méthicilline-résistant (n=2)</w:t>
      </w:r>
      <w:r w:rsidR="00313409">
        <w:rPr>
          <w:rFonts w:ascii="Tahoma" w:hAnsi="Tahoma" w:cs="Tahoma"/>
        </w:rPr>
        <w:t>,</w:t>
      </w:r>
      <w:r w:rsidR="00D72943">
        <w:rPr>
          <w:rFonts w:ascii="Tahoma" w:hAnsi="Tahoma" w:cs="Tahoma"/>
        </w:rPr>
        <w:t xml:space="preserve">staphylocoque coagulase négative méthicilline-sensible (SCNMS) (n=5) etméthicilline-résistant (SCNMR) (n=5), BGN (n=9) dont deux non fermentants, et </w:t>
      </w:r>
      <w:r w:rsidR="00D72943" w:rsidRPr="00D72943">
        <w:rPr>
          <w:rFonts w:ascii="Tahoma" w:hAnsi="Tahoma" w:cs="Tahoma"/>
          <w:i/>
          <w:iCs/>
        </w:rPr>
        <w:t>Streptococcus spp</w:t>
      </w:r>
      <w:r w:rsidR="00D72943">
        <w:rPr>
          <w:rFonts w:ascii="Tahoma" w:hAnsi="Tahoma" w:cs="Tahoma"/>
        </w:rPr>
        <w:t xml:space="preserve"> (n=5</w:t>
      </w:r>
      <w:r w:rsidR="004C1A74">
        <w:rPr>
          <w:rFonts w:ascii="Tahoma" w:hAnsi="Tahoma" w:cs="Tahoma"/>
        </w:rPr>
        <w:t>)</w:t>
      </w:r>
      <w:r w:rsidR="00225B09">
        <w:rPr>
          <w:rFonts w:ascii="Tahoma" w:hAnsi="Tahoma" w:cs="Tahoma"/>
        </w:rPr>
        <w:t>.</w:t>
      </w:r>
      <w:bookmarkStart w:id="0" w:name="_GoBack"/>
      <w:r w:rsidR="0016375C">
        <w:rPr>
          <w:rFonts w:ascii="Tahoma" w:hAnsi="Tahoma" w:cs="Tahoma"/>
        </w:rPr>
        <w:t xml:space="preserve">Une ablation du KT </w:t>
      </w:r>
      <w:r w:rsidR="0083570B">
        <w:rPr>
          <w:rFonts w:ascii="Tahoma" w:hAnsi="Tahoma" w:cs="Tahoma"/>
        </w:rPr>
        <w:t>était</w:t>
      </w:r>
      <w:r w:rsidR="0016375C">
        <w:rPr>
          <w:rFonts w:ascii="Tahoma" w:hAnsi="Tahoma" w:cs="Tahoma"/>
        </w:rPr>
        <w:t xml:space="preserve"> réalisé</w:t>
      </w:r>
      <w:r w:rsidR="00AE0448">
        <w:rPr>
          <w:rFonts w:ascii="Tahoma" w:hAnsi="Tahoma" w:cs="Tahoma"/>
        </w:rPr>
        <w:t>e</w:t>
      </w:r>
      <w:r w:rsidR="0016375C">
        <w:rPr>
          <w:rFonts w:ascii="Tahoma" w:hAnsi="Tahoma" w:cs="Tahoma"/>
        </w:rPr>
        <w:t xml:space="preserve"> dans 16 épisodes avec m</w:t>
      </w:r>
      <w:r>
        <w:rPr>
          <w:rFonts w:ascii="Tahoma" w:hAnsi="Tahoma" w:cs="Tahoma"/>
        </w:rPr>
        <w:t xml:space="preserve">ise en culture dans 14 épisodes, </w:t>
      </w:r>
      <w:r w:rsidR="0016375C">
        <w:rPr>
          <w:rFonts w:ascii="Tahoma" w:hAnsi="Tahoma" w:cs="Tahoma"/>
        </w:rPr>
        <w:t>positive dans 12 cas</w:t>
      </w:r>
      <w:r w:rsidR="00570450">
        <w:rPr>
          <w:rFonts w:ascii="Tahoma" w:hAnsi="Tahoma" w:cs="Tahoma"/>
        </w:rPr>
        <w:t>, isolant : un</w:t>
      </w:r>
      <w:r w:rsidR="0016375C">
        <w:rPr>
          <w:rFonts w:ascii="Tahoma" w:hAnsi="Tahoma" w:cs="Tahoma"/>
        </w:rPr>
        <w:t xml:space="preserve"> BGN</w:t>
      </w:r>
      <w:r w:rsidR="00D72943">
        <w:rPr>
          <w:rFonts w:ascii="Tahoma" w:hAnsi="Tahoma" w:cs="Tahoma"/>
        </w:rPr>
        <w:t xml:space="preserve"> (n=6) dont deux non fermentant</w:t>
      </w:r>
      <w:r w:rsidR="0016375C">
        <w:rPr>
          <w:rFonts w:ascii="Tahoma" w:hAnsi="Tahoma" w:cs="Tahoma"/>
        </w:rPr>
        <w:t xml:space="preserve">s, SAMS(n=4) et </w:t>
      </w:r>
      <w:bookmarkEnd w:id="0"/>
      <w:r w:rsidR="0016375C">
        <w:rPr>
          <w:rFonts w:ascii="Tahoma" w:hAnsi="Tahoma" w:cs="Tahoma"/>
        </w:rPr>
        <w:t>SCNMR(n=2)</w:t>
      </w:r>
      <w:r w:rsidR="00BE6C47">
        <w:rPr>
          <w:rFonts w:ascii="Tahoma" w:hAnsi="Tahoma" w:cs="Tahoma"/>
        </w:rPr>
        <w:t>.</w:t>
      </w:r>
      <w:r w:rsidR="00570450">
        <w:rPr>
          <w:rFonts w:ascii="Tahoma" w:hAnsi="Tahoma" w:cs="Tahoma"/>
        </w:rPr>
        <w:t xml:space="preserve"> Parmi tous les germes isolés, quatre étaient multirésistants.</w:t>
      </w:r>
      <w:r w:rsidR="005433F6">
        <w:rPr>
          <w:rFonts w:ascii="Tahoma" w:hAnsi="Tahoma" w:cs="Tahoma"/>
        </w:rPr>
        <w:t>Dans 10 épisodes</w:t>
      </w:r>
      <w:r>
        <w:rPr>
          <w:rFonts w:ascii="Tahoma" w:hAnsi="Tahoma" w:cs="Tahoma"/>
        </w:rPr>
        <w:t>,</w:t>
      </w:r>
      <w:r w:rsidR="00570450">
        <w:rPr>
          <w:rFonts w:ascii="Tahoma" w:hAnsi="Tahoma" w:cs="Tahoma"/>
        </w:rPr>
        <w:t xml:space="preserve">aussi bien </w:t>
      </w:r>
      <w:r w:rsidR="005433F6">
        <w:rPr>
          <w:rFonts w:ascii="Tahoma" w:hAnsi="Tahoma" w:cs="Tahoma"/>
        </w:rPr>
        <w:t xml:space="preserve">les </w:t>
      </w:r>
      <w:r w:rsidR="0083570B">
        <w:rPr>
          <w:rFonts w:ascii="Tahoma" w:hAnsi="Tahoma" w:cs="Tahoma"/>
        </w:rPr>
        <w:t>HC</w:t>
      </w:r>
      <w:r w:rsidR="005433F6">
        <w:rPr>
          <w:rFonts w:ascii="Tahoma" w:hAnsi="Tahoma" w:cs="Tahoma"/>
        </w:rPr>
        <w:t xml:space="preserve"> et </w:t>
      </w:r>
      <w:r w:rsidR="00570450">
        <w:rPr>
          <w:rFonts w:ascii="Tahoma" w:hAnsi="Tahoma" w:cs="Tahoma"/>
        </w:rPr>
        <w:t xml:space="preserve">que la </w:t>
      </w:r>
      <w:r w:rsidR="005433F6">
        <w:rPr>
          <w:rFonts w:ascii="Tahoma" w:hAnsi="Tahoma" w:cs="Tahoma"/>
        </w:rPr>
        <w:t>culture</w:t>
      </w:r>
      <w:r w:rsidR="00CB32F3">
        <w:rPr>
          <w:rFonts w:ascii="Tahoma" w:hAnsi="Tahoma" w:cs="Tahoma"/>
        </w:rPr>
        <w:t xml:space="preserve"> du KT étaient </w:t>
      </w:r>
      <w:r w:rsidR="005433F6">
        <w:rPr>
          <w:rFonts w:ascii="Tahoma" w:hAnsi="Tahoma" w:cs="Tahoma"/>
        </w:rPr>
        <w:t>positives, au même</w:t>
      </w:r>
      <w:r w:rsidR="00570450">
        <w:rPr>
          <w:rFonts w:ascii="Tahoma" w:hAnsi="Tahoma" w:cs="Tahoma"/>
        </w:rPr>
        <w:t xml:space="preserve"> germe dans six</w:t>
      </w:r>
      <w:r w:rsidR="00D72943">
        <w:rPr>
          <w:rFonts w:ascii="Tahoma" w:hAnsi="Tahoma" w:cs="Tahoma"/>
        </w:rPr>
        <w:t xml:space="preserve"> épisodes.</w:t>
      </w:r>
    </w:p>
    <w:p w:rsidR="005433F6" w:rsidRDefault="000A1E38" w:rsidP="000A1E38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Les </w:t>
      </w:r>
      <w:r w:rsidR="00BE6C47">
        <w:rPr>
          <w:rFonts w:ascii="Tahoma" w:hAnsi="Tahoma" w:cs="Tahoma"/>
        </w:rPr>
        <w:t>localisations seco</w:t>
      </w:r>
      <w:r w:rsidR="00570450">
        <w:rPr>
          <w:rFonts w:ascii="Tahoma" w:hAnsi="Tahoma" w:cs="Tahoma"/>
        </w:rPr>
        <w:t>n</w:t>
      </w:r>
      <w:r w:rsidR="00BE6C47">
        <w:rPr>
          <w:rFonts w:ascii="Tahoma" w:hAnsi="Tahoma" w:cs="Tahoma"/>
        </w:rPr>
        <w:t xml:space="preserve">daires </w:t>
      </w:r>
      <w:r>
        <w:rPr>
          <w:rFonts w:ascii="Tahoma" w:hAnsi="Tahoma" w:cs="Tahoma"/>
        </w:rPr>
        <w:t xml:space="preserve">les plus fréquentes, notées dans </w:t>
      </w:r>
      <w:r w:rsidR="00BE6C47">
        <w:rPr>
          <w:rFonts w:ascii="Tahoma" w:hAnsi="Tahoma" w:cs="Tahoma"/>
        </w:rPr>
        <w:t xml:space="preserve">17 épisodes, </w:t>
      </w:r>
      <w:r>
        <w:rPr>
          <w:rFonts w:ascii="Tahoma" w:hAnsi="Tahoma" w:cs="Tahoma"/>
        </w:rPr>
        <w:t>étaient l’endocardite (n=8) et la spondylodiscite (n=6).</w:t>
      </w:r>
    </w:p>
    <w:p w:rsidR="00DD1D3D" w:rsidRPr="0036045A" w:rsidRDefault="000A1E38" w:rsidP="000A1E38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Sous </w:t>
      </w:r>
      <w:r w:rsidR="009E5963">
        <w:rPr>
          <w:rFonts w:ascii="Tahoma" w:hAnsi="Tahoma" w:cs="Tahoma"/>
        </w:rPr>
        <w:t>antibiot</w:t>
      </w:r>
      <w:r w:rsidR="00440195">
        <w:rPr>
          <w:rFonts w:ascii="Tahoma" w:hAnsi="Tahoma" w:cs="Tahoma"/>
        </w:rPr>
        <w:t>hérapie adaptée</w:t>
      </w:r>
      <w:r>
        <w:rPr>
          <w:rFonts w:ascii="Tahoma" w:hAnsi="Tahoma" w:cs="Tahoma"/>
        </w:rPr>
        <w:t>, l’évolution était f</w:t>
      </w:r>
      <w:r w:rsidR="009E5963">
        <w:rPr>
          <w:rFonts w:ascii="Tahoma" w:hAnsi="Tahoma" w:cs="Tahoma"/>
        </w:rPr>
        <w:t xml:space="preserve">avorable dans </w:t>
      </w:r>
      <w:r>
        <w:rPr>
          <w:rFonts w:ascii="Tahoma" w:hAnsi="Tahoma" w:cs="Tahoma"/>
        </w:rPr>
        <w:t>32 épisodes. Quatre patients avaient présentéune rechute</w:t>
      </w:r>
      <w:r w:rsidR="00DC51C4">
        <w:rPr>
          <w:rFonts w:ascii="Tahoma" w:hAnsi="Tahoma" w:cs="Tahoma"/>
        </w:rPr>
        <w:t xml:space="preserve"> et un </w:t>
      </w:r>
      <w:r>
        <w:rPr>
          <w:rFonts w:ascii="Tahoma" w:hAnsi="Tahoma" w:cs="Tahoma"/>
        </w:rPr>
        <w:t xml:space="preserve">est </w:t>
      </w:r>
      <w:r w:rsidR="007B6447">
        <w:rPr>
          <w:rFonts w:ascii="Tahoma" w:hAnsi="Tahoma" w:cs="Tahoma"/>
        </w:rPr>
        <w:t>décédé</w:t>
      </w:r>
      <w:r>
        <w:rPr>
          <w:rFonts w:ascii="Tahoma" w:hAnsi="Tahoma" w:cs="Tahoma"/>
        </w:rPr>
        <w:t xml:space="preserve"> par un œdème aigu des poumons</w:t>
      </w:r>
      <w:r w:rsidR="00DC51C4">
        <w:rPr>
          <w:rFonts w:ascii="Tahoma" w:hAnsi="Tahoma" w:cs="Tahoma"/>
        </w:rPr>
        <w:t>.</w:t>
      </w:r>
    </w:p>
    <w:p w:rsidR="00F922C3" w:rsidRPr="00AE0448" w:rsidRDefault="00F922C3" w:rsidP="007B6447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CONCLUSION-</w:t>
      </w:r>
      <w:r w:rsidR="007B6447">
        <w:rPr>
          <w:rFonts w:ascii="Tahoma" w:hAnsi="Tahoma" w:cs="Tahoma"/>
        </w:rPr>
        <w:t>Les infections chez l’HD</w:t>
      </w:r>
      <w:r w:rsidR="00AE0448">
        <w:rPr>
          <w:rFonts w:ascii="Tahoma" w:hAnsi="Tahoma" w:cs="Tahoma"/>
        </w:rPr>
        <w:t xml:space="preserve"> sont </w:t>
      </w:r>
      <w:r w:rsidR="007B6447">
        <w:rPr>
          <w:rFonts w:ascii="Tahoma" w:hAnsi="Tahoma" w:cs="Tahoma"/>
        </w:rPr>
        <w:t>assez graves engageant le pronostic vital.</w:t>
      </w:r>
      <w:r w:rsidR="00C90888">
        <w:rPr>
          <w:rFonts w:ascii="Tahoma" w:hAnsi="Tahoma" w:cs="Tahoma"/>
        </w:rPr>
        <w:t xml:space="preserve"> Seul le respect des rè</w:t>
      </w:r>
      <w:r w:rsidR="007B6447">
        <w:rPr>
          <w:rFonts w:ascii="Tahoma" w:hAnsi="Tahoma" w:cs="Tahoma"/>
        </w:rPr>
        <w:t>gles d’</w:t>
      </w:r>
      <w:r w:rsidR="00C90888">
        <w:rPr>
          <w:rFonts w:ascii="Tahoma" w:hAnsi="Tahoma" w:cs="Tahoma"/>
        </w:rPr>
        <w:t>asepsie permet de les prévenir et de préserver la voie de dialyse, chez des patients à capital veineux souvent réduit.</w:t>
      </w:r>
    </w:p>
    <w:sectPr w:rsidR="00F922C3" w:rsidRPr="00AE0448" w:rsidSect="00A1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3D36"/>
    <w:multiLevelType w:val="hybridMultilevel"/>
    <w:tmpl w:val="9FF624C4"/>
    <w:lvl w:ilvl="0" w:tplc="F7483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42F1"/>
    <w:rsid w:val="000A1E38"/>
    <w:rsid w:val="000B0925"/>
    <w:rsid w:val="00145284"/>
    <w:rsid w:val="001515D8"/>
    <w:rsid w:val="0016375C"/>
    <w:rsid w:val="00205AE9"/>
    <w:rsid w:val="00225B09"/>
    <w:rsid w:val="00290B53"/>
    <w:rsid w:val="00313409"/>
    <w:rsid w:val="003142F1"/>
    <w:rsid w:val="0036045A"/>
    <w:rsid w:val="00403780"/>
    <w:rsid w:val="00440195"/>
    <w:rsid w:val="004A1A96"/>
    <w:rsid w:val="004C1A74"/>
    <w:rsid w:val="004E7AEA"/>
    <w:rsid w:val="005433F6"/>
    <w:rsid w:val="00570450"/>
    <w:rsid w:val="006E671F"/>
    <w:rsid w:val="007B6447"/>
    <w:rsid w:val="00827981"/>
    <w:rsid w:val="0083570B"/>
    <w:rsid w:val="009E5963"/>
    <w:rsid w:val="00A13BAB"/>
    <w:rsid w:val="00AE0448"/>
    <w:rsid w:val="00BE6C47"/>
    <w:rsid w:val="00C90888"/>
    <w:rsid w:val="00CB32F3"/>
    <w:rsid w:val="00CC79B5"/>
    <w:rsid w:val="00CE4604"/>
    <w:rsid w:val="00CF6ACC"/>
    <w:rsid w:val="00D55016"/>
    <w:rsid w:val="00D72943"/>
    <w:rsid w:val="00D81C05"/>
    <w:rsid w:val="00DC51C4"/>
    <w:rsid w:val="00DD1D3D"/>
    <w:rsid w:val="00E96670"/>
    <w:rsid w:val="00ED3B70"/>
    <w:rsid w:val="00F81BCC"/>
    <w:rsid w:val="00F9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B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7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C8D02-15A0-4AA4-B260-83FDD14D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dcterms:created xsi:type="dcterms:W3CDTF">2018-02-13T13:56:00Z</dcterms:created>
  <dcterms:modified xsi:type="dcterms:W3CDTF">2018-02-13T13:56:00Z</dcterms:modified>
</cp:coreProperties>
</file>