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09" w:rsidRDefault="00776AC2">
      <w:r>
        <w:t>Place de bactéries résistantes dans les bactériémies néonatales au CHU de Blida-Algérie.</w:t>
      </w:r>
    </w:p>
    <w:p w:rsidR="00776AC2" w:rsidRPr="00E779E9" w:rsidRDefault="00776AC2" w:rsidP="00776A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79E9">
        <w:rPr>
          <w:rFonts w:ascii="Times New Roman" w:hAnsi="Times New Roman" w:cs="Times New Roman"/>
          <w:sz w:val="20"/>
          <w:szCs w:val="20"/>
        </w:rPr>
        <w:t>S.Oukid</w:t>
      </w:r>
      <w:r w:rsidRPr="00E779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779E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M.L.Boujella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779E9">
        <w:rPr>
          <w:rFonts w:ascii="Times New Roman" w:hAnsi="Times New Roman" w:cs="Times New Roman"/>
          <w:sz w:val="20"/>
          <w:szCs w:val="20"/>
        </w:rPr>
        <w:t xml:space="preserve"> F.Sadaoui</w:t>
      </w:r>
      <w:r w:rsidRPr="00E779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779E9">
        <w:rPr>
          <w:rFonts w:ascii="Times New Roman" w:hAnsi="Times New Roman" w:cs="Times New Roman"/>
          <w:sz w:val="20"/>
          <w:szCs w:val="20"/>
        </w:rPr>
        <w:t>, M.Talbi</w:t>
      </w:r>
      <w:r w:rsidRPr="00E779E9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776AC2" w:rsidRPr="00E779E9" w:rsidRDefault="00776AC2" w:rsidP="00776AC2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79E9">
        <w:rPr>
          <w:rFonts w:ascii="Times New Roman" w:hAnsi="Times New Roman" w:cs="Times New Roman"/>
          <w:sz w:val="20"/>
          <w:szCs w:val="20"/>
        </w:rPr>
        <w:t xml:space="preserve">Service de laboratoire, Clinique </w:t>
      </w:r>
      <w:proofErr w:type="spellStart"/>
      <w:r w:rsidRPr="00E779E9">
        <w:rPr>
          <w:rFonts w:ascii="Times New Roman" w:hAnsi="Times New Roman" w:cs="Times New Roman"/>
          <w:sz w:val="20"/>
          <w:szCs w:val="20"/>
        </w:rPr>
        <w:t>Hassiba</w:t>
      </w:r>
      <w:proofErr w:type="spellEnd"/>
      <w:r w:rsidRPr="00E779E9">
        <w:rPr>
          <w:rFonts w:ascii="Times New Roman" w:hAnsi="Times New Roman" w:cs="Times New Roman"/>
          <w:sz w:val="20"/>
          <w:szCs w:val="20"/>
        </w:rPr>
        <w:t xml:space="preserve"> Ben Bouali, CHU de Blida</w:t>
      </w:r>
    </w:p>
    <w:p w:rsidR="00776AC2" w:rsidRDefault="00776AC2" w:rsidP="00776AC2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Unité de Néonata</w:t>
      </w:r>
      <w:r w:rsidRPr="00E779E9">
        <w:rPr>
          <w:rFonts w:ascii="Times New Roman" w:hAnsi="Times New Roman" w:cs="Times New Roman"/>
          <w:sz w:val="20"/>
          <w:szCs w:val="20"/>
        </w:rPr>
        <w:t>logie, Service de Pédiatrie, CHU de Blida</w:t>
      </w:r>
    </w:p>
    <w:p w:rsidR="00776AC2" w:rsidRDefault="00A215D0" w:rsidP="00776A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Introduction-Objectif :</w:t>
      </w:r>
    </w:p>
    <w:p w:rsidR="00776AC2" w:rsidRDefault="00776AC2" w:rsidP="00A21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L’émergence des bactéries résistantes dans les unités de néonatalogie menace le pronostic vital</w:t>
      </w:r>
      <w:r w:rsidR="00A215D0">
        <w:rPr>
          <w:rFonts w:ascii="Times New Roman" w:hAnsi="Times New Roman" w:cs="Times New Roman"/>
          <w:sz w:val="20"/>
          <w:szCs w:val="20"/>
        </w:rPr>
        <w:t xml:space="preserve"> à cause du risque élevé d’échec therapeutique</w:t>
      </w:r>
      <w:r>
        <w:rPr>
          <w:rFonts w:ascii="Times New Roman" w:hAnsi="Times New Roman" w:cs="Times New Roman"/>
          <w:sz w:val="20"/>
          <w:szCs w:val="20"/>
        </w:rPr>
        <w:t>.</w:t>
      </w:r>
      <w:r w:rsidR="00A215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Nous proposons de mettre en avant </w:t>
      </w:r>
      <w:r w:rsidR="00A215D0">
        <w:rPr>
          <w:rFonts w:ascii="Times New Roman" w:hAnsi="Times New Roman" w:cs="Times New Roman"/>
          <w:sz w:val="20"/>
          <w:szCs w:val="20"/>
        </w:rPr>
        <w:t>les</w:t>
      </w:r>
      <w:r>
        <w:rPr>
          <w:rFonts w:ascii="Times New Roman" w:hAnsi="Times New Roman" w:cs="Times New Roman"/>
          <w:sz w:val="20"/>
          <w:szCs w:val="20"/>
        </w:rPr>
        <w:t xml:space="preserve"> bactéries résistantes responsables de bactériémies néonatales à notre niveau dans l’espoir de palier à ce problème.</w:t>
      </w:r>
    </w:p>
    <w:p w:rsidR="00A215D0" w:rsidRPr="00776AC2" w:rsidRDefault="00A215D0" w:rsidP="00A21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Matériels et méthodes :</w:t>
      </w:r>
    </w:p>
    <w:p w:rsidR="00776AC2" w:rsidRDefault="002A247A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Un </w:t>
      </w:r>
      <w:proofErr w:type="spellStart"/>
      <w:r>
        <w:t>microflacon</w:t>
      </w:r>
      <w:proofErr w:type="spellEnd"/>
      <w:r>
        <w:t xml:space="preserve"> d’hémoculture </w:t>
      </w:r>
      <w:r w:rsidR="00A215D0">
        <w:t>avec un</w:t>
      </w:r>
      <w:r>
        <w:t xml:space="preserve"> volume de sang 2 ml </w:t>
      </w:r>
      <w:r w:rsidR="00A215D0">
        <w:t xml:space="preserve">est prélevé </w:t>
      </w:r>
      <w:r>
        <w:t xml:space="preserve">pour chaque </w:t>
      </w:r>
      <w:r w:rsidR="00A215D0">
        <w:t>nouveau né</w:t>
      </w:r>
      <w:r>
        <w:t xml:space="preserve">. </w:t>
      </w:r>
      <w:r w:rsidRPr="00E779E9">
        <w:rPr>
          <w:rFonts w:ascii="Times New Roman" w:hAnsi="Times New Roman" w:cs="Times New Roman"/>
          <w:sz w:val="20"/>
          <w:szCs w:val="20"/>
        </w:rPr>
        <w:t xml:space="preserve">Le diagnostic </w:t>
      </w:r>
      <w:r w:rsidR="00A215D0">
        <w:rPr>
          <w:rFonts w:ascii="Times New Roman" w:hAnsi="Times New Roman" w:cs="Times New Roman"/>
          <w:sz w:val="20"/>
          <w:szCs w:val="20"/>
        </w:rPr>
        <w:t>bactériologique</w:t>
      </w:r>
      <w:r w:rsidRPr="00E779E9">
        <w:rPr>
          <w:rFonts w:ascii="Times New Roman" w:hAnsi="Times New Roman" w:cs="Times New Roman"/>
          <w:sz w:val="20"/>
          <w:szCs w:val="20"/>
        </w:rPr>
        <w:t xml:space="preserve"> suit les techniques usuelles et l’étude de sensibilité aux antibiotiques obéit aux recommandations du CLSI (2014).</w:t>
      </w:r>
    </w:p>
    <w:p w:rsidR="00A215D0" w:rsidRDefault="00A215D0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Résultats :</w:t>
      </w:r>
    </w:p>
    <w:p w:rsidR="002A247A" w:rsidRDefault="002A247A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79E9">
        <w:rPr>
          <w:rFonts w:ascii="Times New Roman" w:hAnsi="Times New Roman" w:cs="Times New Roman"/>
          <w:sz w:val="20"/>
          <w:szCs w:val="20"/>
        </w:rPr>
        <w:t>Durant la période Mars 2016 à Octobre 2017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215D0">
        <w:rPr>
          <w:rFonts w:ascii="Times New Roman" w:hAnsi="Times New Roman" w:cs="Times New Roman"/>
          <w:sz w:val="20"/>
          <w:szCs w:val="20"/>
        </w:rPr>
        <w:t xml:space="preserve">les bactériémies présentaient </w:t>
      </w:r>
      <w:r>
        <w:rPr>
          <w:rFonts w:ascii="Times New Roman" w:hAnsi="Times New Roman" w:cs="Times New Roman"/>
          <w:sz w:val="20"/>
          <w:szCs w:val="20"/>
        </w:rPr>
        <w:t xml:space="preserve">64% des infections </w:t>
      </w:r>
      <w:r w:rsidR="00A215D0">
        <w:rPr>
          <w:rFonts w:ascii="Times New Roman" w:hAnsi="Times New Roman" w:cs="Times New Roman"/>
          <w:sz w:val="20"/>
          <w:szCs w:val="20"/>
        </w:rPr>
        <w:t>néonatales</w:t>
      </w:r>
      <w:r>
        <w:rPr>
          <w:rFonts w:ascii="Times New Roman" w:hAnsi="Times New Roman" w:cs="Times New Roman"/>
          <w:sz w:val="20"/>
          <w:szCs w:val="20"/>
        </w:rPr>
        <w:t xml:space="preserve"> (135/212) avec 55% des infections </w:t>
      </w:r>
      <w:r w:rsidR="00A215D0">
        <w:rPr>
          <w:rFonts w:ascii="Times New Roman" w:hAnsi="Times New Roman" w:cs="Times New Roman"/>
          <w:sz w:val="20"/>
          <w:szCs w:val="20"/>
        </w:rPr>
        <w:t>précoces</w:t>
      </w:r>
      <w:r>
        <w:rPr>
          <w:rFonts w:ascii="Times New Roman" w:hAnsi="Times New Roman" w:cs="Times New Roman"/>
          <w:sz w:val="20"/>
          <w:szCs w:val="20"/>
        </w:rPr>
        <w:t xml:space="preserve"> et 29% des infections tardives. </w:t>
      </w:r>
    </w:p>
    <w:p w:rsidR="002A247A" w:rsidRDefault="002A247A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bactériémies sont dues à des bactéries d’origines nosocomiales dans 97% (132/135)</w:t>
      </w:r>
      <w:r w:rsidR="007808F2">
        <w:rPr>
          <w:rFonts w:ascii="Times New Roman" w:hAnsi="Times New Roman" w:cs="Times New Roman"/>
          <w:sz w:val="20"/>
          <w:szCs w:val="20"/>
        </w:rPr>
        <w:t xml:space="preserve"> des cas : 87% </w:t>
      </w:r>
      <w:r w:rsidR="00A215D0">
        <w:rPr>
          <w:rFonts w:ascii="Times New Roman" w:hAnsi="Times New Roman" w:cs="Times New Roman"/>
          <w:sz w:val="20"/>
          <w:szCs w:val="20"/>
        </w:rPr>
        <w:t>(118/135)</w:t>
      </w:r>
      <w:r w:rsidR="00D701BB">
        <w:rPr>
          <w:rFonts w:ascii="Times New Roman" w:hAnsi="Times New Roman" w:cs="Times New Roman"/>
          <w:sz w:val="20"/>
          <w:szCs w:val="20"/>
        </w:rPr>
        <w:t xml:space="preserve"> </w:t>
      </w:r>
      <w:r w:rsidR="007808F2">
        <w:rPr>
          <w:rFonts w:ascii="Times New Roman" w:hAnsi="Times New Roman" w:cs="Times New Roman"/>
          <w:sz w:val="20"/>
          <w:szCs w:val="20"/>
        </w:rPr>
        <w:t xml:space="preserve">sont des </w:t>
      </w:r>
      <w:r w:rsidR="00A215D0">
        <w:rPr>
          <w:rFonts w:ascii="Times New Roman" w:hAnsi="Times New Roman" w:cs="Times New Roman"/>
          <w:sz w:val="20"/>
          <w:szCs w:val="20"/>
        </w:rPr>
        <w:t>bactéries</w:t>
      </w:r>
      <w:r w:rsidR="007808F2">
        <w:rPr>
          <w:rFonts w:ascii="Times New Roman" w:hAnsi="Times New Roman" w:cs="Times New Roman"/>
          <w:sz w:val="20"/>
          <w:szCs w:val="20"/>
        </w:rPr>
        <w:t xml:space="preserve"> à Gram </w:t>
      </w:r>
      <w:r w:rsidR="00A215D0">
        <w:rPr>
          <w:rFonts w:ascii="Times New Roman" w:hAnsi="Times New Roman" w:cs="Times New Roman"/>
          <w:sz w:val="20"/>
          <w:szCs w:val="20"/>
        </w:rPr>
        <w:t>négatif</w:t>
      </w:r>
      <w:r w:rsidR="007808F2">
        <w:rPr>
          <w:rFonts w:ascii="Times New Roman" w:hAnsi="Times New Roman" w:cs="Times New Roman"/>
          <w:sz w:val="20"/>
          <w:szCs w:val="20"/>
        </w:rPr>
        <w:t xml:space="preserve"> et 13% </w:t>
      </w:r>
      <w:r w:rsidR="00A215D0">
        <w:rPr>
          <w:rFonts w:ascii="Times New Roman" w:hAnsi="Times New Roman" w:cs="Times New Roman"/>
          <w:sz w:val="20"/>
          <w:szCs w:val="20"/>
        </w:rPr>
        <w:t xml:space="preserve">(17/135) </w:t>
      </w:r>
      <w:r w:rsidR="007808F2">
        <w:rPr>
          <w:rFonts w:ascii="Times New Roman" w:hAnsi="Times New Roman" w:cs="Times New Roman"/>
          <w:sz w:val="20"/>
          <w:szCs w:val="20"/>
        </w:rPr>
        <w:t xml:space="preserve">des </w:t>
      </w:r>
      <w:r w:rsidR="00A215D0">
        <w:rPr>
          <w:rFonts w:ascii="Times New Roman" w:hAnsi="Times New Roman" w:cs="Times New Roman"/>
          <w:sz w:val="20"/>
          <w:szCs w:val="20"/>
        </w:rPr>
        <w:t>bactéries</w:t>
      </w:r>
      <w:r w:rsidR="007808F2">
        <w:rPr>
          <w:rFonts w:ascii="Times New Roman" w:hAnsi="Times New Roman" w:cs="Times New Roman"/>
          <w:sz w:val="20"/>
          <w:szCs w:val="20"/>
        </w:rPr>
        <w:t xml:space="preserve"> à Gram positif.</w:t>
      </w:r>
    </w:p>
    <w:p w:rsidR="007808F2" w:rsidRDefault="007808F2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Les entérobactéries </w:t>
      </w:r>
      <w:r w:rsidR="00A215D0">
        <w:rPr>
          <w:rFonts w:ascii="Times New Roman" w:hAnsi="Times New Roman" w:cs="Times New Roman"/>
          <w:sz w:val="20"/>
          <w:szCs w:val="20"/>
        </w:rPr>
        <w:t>retrouvaient dans</w:t>
      </w:r>
      <w:r>
        <w:rPr>
          <w:rFonts w:ascii="Times New Roman" w:hAnsi="Times New Roman" w:cs="Times New Roman"/>
          <w:sz w:val="20"/>
          <w:szCs w:val="20"/>
        </w:rPr>
        <w:t xml:space="preserve"> 89% (105/118) des bactéries à Gram négatif avec les taux de </w:t>
      </w:r>
      <w:r w:rsidR="00A215D0">
        <w:rPr>
          <w:rFonts w:ascii="Times New Roman" w:hAnsi="Times New Roman" w:cs="Times New Roman"/>
          <w:sz w:val="20"/>
          <w:szCs w:val="20"/>
        </w:rPr>
        <w:t>résistance</w:t>
      </w:r>
      <w:r>
        <w:rPr>
          <w:rFonts w:ascii="Times New Roman" w:hAnsi="Times New Roman" w:cs="Times New Roman"/>
          <w:sz w:val="20"/>
          <w:szCs w:val="20"/>
        </w:rPr>
        <w:t xml:space="preserve"> aux antibiotiques les plus </w:t>
      </w:r>
      <w:r w:rsidR="00D701BB">
        <w:rPr>
          <w:rFonts w:ascii="Times New Roman" w:hAnsi="Times New Roman" w:cs="Times New Roman"/>
          <w:sz w:val="20"/>
          <w:szCs w:val="20"/>
        </w:rPr>
        <w:t>élevés</w:t>
      </w:r>
      <w:r>
        <w:rPr>
          <w:rFonts w:ascii="Times New Roman" w:hAnsi="Times New Roman" w:cs="Times New Roman"/>
          <w:sz w:val="20"/>
          <w:szCs w:val="20"/>
        </w:rPr>
        <w:t xml:space="preserve"> : 58% </w:t>
      </w:r>
      <w:r w:rsidR="00A215D0">
        <w:rPr>
          <w:rFonts w:ascii="Times New Roman" w:hAnsi="Times New Roman" w:cs="Times New Roman"/>
          <w:sz w:val="20"/>
          <w:szCs w:val="20"/>
        </w:rPr>
        <w:t>secrétaient</w:t>
      </w:r>
      <w:r>
        <w:rPr>
          <w:rFonts w:ascii="Times New Roman" w:hAnsi="Times New Roman" w:cs="Times New Roman"/>
          <w:sz w:val="20"/>
          <w:szCs w:val="20"/>
        </w:rPr>
        <w:t xml:space="preserve"> une </w:t>
      </w:r>
      <w:proofErr w:type="gramStart"/>
      <w:r>
        <w:rPr>
          <w:rFonts w:ascii="Times New Roman" w:hAnsi="Times New Roman" w:cs="Times New Roman"/>
          <w:sz w:val="20"/>
          <w:szCs w:val="20"/>
        </w:rPr>
        <w:t>BLSE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A215D0">
        <w:rPr>
          <w:rFonts w:ascii="Times New Roman" w:hAnsi="Times New Roman" w:cs="Times New Roman"/>
          <w:sz w:val="20"/>
          <w:szCs w:val="20"/>
        </w:rPr>
        <w:t xml:space="preserve">% une </w:t>
      </w:r>
      <w:proofErr w:type="spellStart"/>
      <w:r w:rsidR="00A215D0">
        <w:rPr>
          <w:rFonts w:ascii="Times New Roman" w:hAnsi="Times New Roman" w:cs="Times New Roman"/>
          <w:sz w:val="20"/>
          <w:szCs w:val="20"/>
        </w:rPr>
        <w:t>Carbapéné</w:t>
      </w:r>
      <w:r>
        <w:rPr>
          <w:rFonts w:ascii="Times New Roman" w:hAnsi="Times New Roman" w:cs="Times New Roman"/>
          <w:sz w:val="20"/>
          <w:szCs w:val="20"/>
        </w:rPr>
        <w:t>mase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11% </w:t>
      </w:r>
      <w:r w:rsidR="00A215D0">
        <w:rPr>
          <w:rFonts w:ascii="Times New Roman" w:hAnsi="Times New Roman" w:cs="Times New Roman"/>
          <w:sz w:val="20"/>
          <w:szCs w:val="20"/>
        </w:rPr>
        <w:t>résistaient</w:t>
      </w:r>
      <w:r>
        <w:rPr>
          <w:rFonts w:ascii="Times New Roman" w:hAnsi="Times New Roman" w:cs="Times New Roman"/>
          <w:sz w:val="20"/>
          <w:szCs w:val="20"/>
        </w:rPr>
        <w:t xml:space="preserve"> à l’</w:t>
      </w:r>
      <w:proofErr w:type="spellStart"/>
      <w:r>
        <w:rPr>
          <w:rFonts w:ascii="Times New Roman" w:hAnsi="Times New Roman" w:cs="Times New Roman"/>
          <w:sz w:val="20"/>
          <w:szCs w:val="20"/>
        </w:rPr>
        <w:t>Amikacine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38% à le Gentamicine et 35.5% à la </w:t>
      </w:r>
      <w:proofErr w:type="spellStart"/>
      <w:r>
        <w:rPr>
          <w:rFonts w:ascii="Times New Roman" w:hAnsi="Times New Roman" w:cs="Times New Roman"/>
          <w:sz w:val="20"/>
          <w:szCs w:val="20"/>
        </w:rPr>
        <w:t>Ciprofloxacine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 taux de 56% des </w:t>
      </w:r>
      <w:r w:rsidR="00A215D0">
        <w:rPr>
          <w:rFonts w:ascii="Times New Roman" w:hAnsi="Times New Roman" w:cs="Times New Roman"/>
          <w:sz w:val="20"/>
          <w:szCs w:val="20"/>
        </w:rPr>
        <w:t>entérobactéries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15D0">
        <w:rPr>
          <w:rFonts w:ascii="Times New Roman" w:hAnsi="Times New Roman" w:cs="Times New Roman"/>
          <w:sz w:val="20"/>
          <w:szCs w:val="20"/>
        </w:rPr>
        <w:t>bactéries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15D0">
        <w:rPr>
          <w:rFonts w:ascii="Times New Roman" w:hAnsi="Times New Roman" w:cs="Times New Roman"/>
          <w:sz w:val="20"/>
          <w:szCs w:val="20"/>
        </w:rPr>
        <w:t>étaient</w:t>
      </w:r>
      <w:r>
        <w:rPr>
          <w:rFonts w:ascii="Times New Roman" w:hAnsi="Times New Roman" w:cs="Times New Roman"/>
          <w:sz w:val="20"/>
          <w:szCs w:val="20"/>
        </w:rPr>
        <w:t xml:space="preserve"> des BMR avec  une </w:t>
      </w:r>
      <w:r w:rsidR="00A215D0">
        <w:rPr>
          <w:rFonts w:ascii="Times New Roman" w:hAnsi="Times New Roman" w:cs="Times New Roman"/>
          <w:sz w:val="20"/>
          <w:szCs w:val="20"/>
        </w:rPr>
        <w:t>résistance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15D0">
        <w:rPr>
          <w:rFonts w:ascii="Times New Roman" w:hAnsi="Times New Roman" w:cs="Times New Roman"/>
          <w:sz w:val="20"/>
          <w:szCs w:val="20"/>
        </w:rPr>
        <w:t xml:space="preserve">croisée aux </w:t>
      </w:r>
      <w:proofErr w:type="spellStart"/>
      <w:r w:rsidR="00A215D0">
        <w:rPr>
          <w:rFonts w:ascii="Times New Roman" w:hAnsi="Times New Roman" w:cs="Times New Roman"/>
          <w:sz w:val="20"/>
          <w:szCs w:val="20"/>
        </w:rPr>
        <w:t>Bétalactamines</w:t>
      </w:r>
      <w:proofErr w:type="spellEnd"/>
      <w:r w:rsidR="00A215D0">
        <w:rPr>
          <w:rFonts w:ascii="Times New Roman" w:hAnsi="Times New Roman" w:cs="Times New Roman"/>
          <w:sz w:val="20"/>
          <w:szCs w:val="20"/>
        </w:rPr>
        <w:t xml:space="preserve"> et/ou A</w:t>
      </w:r>
      <w:r>
        <w:rPr>
          <w:rFonts w:ascii="Times New Roman" w:hAnsi="Times New Roman" w:cs="Times New Roman"/>
          <w:sz w:val="20"/>
          <w:szCs w:val="20"/>
        </w:rPr>
        <w:t xml:space="preserve">minosides et/ou </w:t>
      </w:r>
      <w:proofErr w:type="spellStart"/>
      <w:r>
        <w:rPr>
          <w:rFonts w:ascii="Times New Roman" w:hAnsi="Times New Roman" w:cs="Times New Roman"/>
          <w:sz w:val="20"/>
          <w:szCs w:val="20"/>
        </w:rPr>
        <w:t>Ciprofloxacine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215D0" w:rsidRDefault="00A215D0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Conclusion </w:t>
      </w:r>
    </w:p>
    <w:p w:rsidR="007808F2" w:rsidRPr="002A247A" w:rsidRDefault="007808F2" w:rsidP="00A215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Plus </w:t>
      </w:r>
      <w:r w:rsidR="00D701BB">
        <w:rPr>
          <w:rFonts w:ascii="Times New Roman" w:hAnsi="Times New Roman" w:cs="Times New Roman"/>
          <w:sz w:val="20"/>
          <w:szCs w:val="20"/>
        </w:rPr>
        <w:t>de la moitie des Entérobactéries</w:t>
      </w:r>
      <w:r>
        <w:rPr>
          <w:rFonts w:ascii="Times New Roman" w:hAnsi="Times New Roman" w:cs="Times New Roman"/>
          <w:sz w:val="20"/>
          <w:szCs w:val="20"/>
        </w:rPr>
        <w:t xml:space="preserve"> responsables de </w:t>
      </w:r>
      <w:r w:rsidR="00D701BB">
        <w:rPr>
          <w:rFonts w:ascii="Times New Roman" w:hAnsi="Times New Roman" w:cs="Times New Roman"/>
          <w:sz w:val="20"/>
          <w:szCs w:val="20"/>
        </w:rPr>
        <w:t>bactériémies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1BB">
        <w:rPr>
          <w:rFonts w:ascii="Times New Roman" w:hAnsi="Times New Roman" w:cs="Times New Roman"/>
          <w:sz w:val="20"/>
          <w:szCs w:val="20"/>
        </w:rPr>
        <w:t>néonatales</w:t>
      </w:r>
      <w:r>
        <w:rPr>
          <w:rFonts w:ascii="Times New Roman" w:hAnsi="Times New Roman" w:cs="Times New Roman"/>
          <w:sz w:val="20"/>
          <w:szCs w:val="20"/>
        </w:rPr>
        <w:t xml:space="preserve"> sont des </w:t>
      </w:r>
      <w:r w:rsidR="00D701BB">
        <w:rPr>
          <w:rFonts w:ascii="Times New Roman" w:hAnsi="Times New Roman" w:cs="Times New Roman"/>
          <w:sz w:val="20"/>
          <w:szCs w:val="20"/>
        </w:rPr>
        <w:t>Bactéries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1BB">
        <w:rPr>
          <w:rFonts w:ascii="Times New Roman" w:hAnsi="Times New Roman" w:cs="Times New Roman"/>
          <w:sz w:val="20"/>
          <w:szCs w:val="20"/>
        </w:rPr>
        <w:t>Multi Résistantes</w:t>
      </w:r>
      <w:r>
        <w:rPr>
          <w:rFonts w:ascii="Times New Roman" w:hAnsi="Times New Roman" w:cs="Times New Roman"/>
          <w:sz w:val="20"/>
          <w:szCs w:val="20"/>
        </w:rPr>
        <w:t>. Une surveillance et des mesures d’</w:t>
      </w:r>
      <w:r w:rsidR="00D701BB">
        <w:rPr>
          <w:rFonts w:ascii="Times New Roman" w:hAnsi="Times New Roman" w:cs="Times New Roman"/>
          <w:sz w:val="20"/>
          <w:szCs w:val="20"/>
        </w:rPr>
        <w:t>hygiène</w:t>
      </w:r>
      <w:r>
        <w:rPr>
          <w:rFonts w:ascii="Times New Roman" w:hAnsi="Times New Roman" w:cs="Times New Roman"/>
          <w:sz w:val="20"/>
          <w:szCs w:val="20"/>
        </w:rPr>
        <w:t xml:space="preserve"> de rigueur doivent </w:t>
      </w:r>
      <w:r w:rsidR="00D701BB">
        <w:rPr>
          <w:rFonts w:ascii="Times New Roman" w:hAnsi="Times New Roman" w:cs="Times New Roman"/>
          <w:sz w:val="20"/>
          <w:szCs w:val="20"/>
        </w:rPr>
        <w:t>être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1BB">
        <w:rPr>
          <w:rFonts w:ascii="Times New Roman" w:hAnsi="Times New Roman" w:cs="Times New Roman"/>
          <w:sz w:val="20"/>
          <w:szCs w:val="20"/>
        </w:rPr>
        <w:t>suivies</w:t>
      </w:r>
      <w:r>
        <w:rPr>
          <w:rFonts w:ascii="Times New Roman" w:hAnsi="Times New Roman" w:cs="Times New Roman"/>
          <w:sz w:val="20"/>
          <w:szCs w:val="20"/>
        </w:rPr>
        <w:t xml:space="preserve"> pour </w:t>
      </w:r>
      <w:r w:rsidR="00A215D0">
        <w:rPr>
          <w:rFonts w:ascii="Times New Roman" w:hAnsi="Times New Roman" w:cs="Times New Roman"/>
          <w:sz w:val="20"/>
          <w:szCs w:val="20"/>
        </w:rPr>
        <w:t>empêcher</w:t>
      </w:r>
      <w:r>
        <w:rPr>
          <w:rFonts w:ascii="Times New Roman" w:hAnsi="Times New Roman" w:cs="Times New Roman"/>
          <w:sz w:val="20"/>
          <w:szCs w:val="20"/>
        </w:rPr>
        <w:t xml:space="preserve"> une épidémie probable.</w:t>
      </w:r>
    </w:p>
    <w:sectPr w:rsidR="007808F2" w:rsidRPr="002A247A" w:rsidSect="00B0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BCE"/>
    <w:multiLevelType w:val="hybridMultilevel"/>
    <w:tmpl w:val="A984D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6AC2"/>
    <w:rsid w:val="002A247A"/>
    <w:rsid w:val="00776AC2"/>
    <w:rsid w:val="007808F2"/>
    <w:rsid w:val="00A215D0"/>
    <w:rsid w:val="00B04E09"/>
    <w:rsid w:val="00D7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 EXTREM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2018-01-24T21:27:00Z</dcterms:created>
  <dcterms:modified xsi:type="dcterms:W3CDTF">2018-01-24T22:09:00Z</dcterms:modified>
</cp:coreProperties>
</file>